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0E4A" w14:textId="605E7A1F" w:rsidR="00C03C6D" w:rsidRDefault="00C03C6D" w:rsidP="00C03C6D">
      <w:pPr>
        <w:pStyle w:val="NormalWeb"/>
        <w:snapToGrid w:val="0"/>
        <w:spacing w:before="0" w:beforeAutospacing="0" w:after="0" w:afterAutospacing="0"/>
        <w:jc w:val="center"/>
      </w:pPr>
      <w:r w:rsidRPr="00C03C6D">
        <w:rPr>
          <w:rStyle w:val="Strong"/>
        </w:rPr>
        <w:t xml:space="preserve">Ministry of Commerce </w:t>
      </w:r>
      <w:r>
        <w:rPr>
          <w:rStyle w:val="Strong"/>
        </w:rPr>
        <w:t>Notice</w:t>
      </w:r>
      <w:r w:rsidRPr="00C03C6D">
        <w:rPr>
          <w:rStyle w:val="Strong"/>
        </w:rPr>
        <w:t xml:space="preserve"> No. </w:t>
      </w:r>
      <w:r w:rsidR="0061635C">
        <w:rPr>
          <w:rStyle w:val="Strong"/>
          <w:rFonts w:eastAsiaTheme="minorEastAsia" w:hint="eastAsia"/>
        </w:rPr>
        <w:t>83</w:t>
      </w:r>
      <w:r w:rsidRPr="00C03C6D">
        <w:rPr>
          <w:rStyle w:val="Strong"/>
        </w:rPr>
        <w:t xml:space="preserve"> of 2025</w:t>
      </w:r>
    </w:p>
    <w:p w14:paraId="6203CD66" w14:textId="3521CF64" w:rsidR="00C03C6D" w:rsidRPr="00C03C6D" w:rsidRDefault="00C03C6D" w:rsidP="00C03C6D">
      <w:pPr>
        <w:pStyle w:val="NormalWeb"/>
        <w:snapToGrid w:val="0"/>
        <w:spacing w:before="0" w:beforeAutospacing="0" w:after="0" w:afterAutospacing="0"/>
        <w:jc w:val="center"/>
      </w:pPr>
      <w:r w:rsidRPr="00C03C6D">
        <w:rPr>
          <w:rStyle w:val="Strong"/>
        </w:rPr>
        <w:t xml:space="preserve">Preliminary </w:t>
      </w:r>
      <w:r>
        <w:rPr>
          <w:rStyle w:val="Strong"/>
        </w:rPr>
        <w:t>Determination</w:t>
      </w:r>
      <w:r w:rsidRPr="00C03C6D">
        <w:rPr>
          <w:rStyle w:val="Strong"/>
        </w:rPr>
        <w:t xml:space="preserve"> on the </w:t>
      </w:r>
      <w:r w:rsidR="0061635C">
        <w:rPr>
          <w:rStyle w:val="Strong"/>
          <w:rFonts w:eastAsiaTheme="minorEastAsia" w:hint="eastAsia"/>
        </w:rPr>
        <w:t>Countervailing</w:t>
      </w:r>
      <w:r w:rsidRPr="00C03C6D">
        <w:rPr>
          <w:rStyle w:val="Strong"/>
        </w:rPr>
        <w:t xml:space="preserve"> Investigation of Imports of </w:t>
      </w:r>
      <w:r w:rsidR="0061635C" w:rsidRPr="0061635C">
        <w:rPr>
          <w:rStyle w:val="Strong"/>
        </w:rPr>
        <w:t>Certain dairy products</w:t>
      </w:r>
      <w:r w:rsidR="0061635C" w:rsidRPr="0061635C">
        <w:rPr>
          <w:rStyle w:val="Strong"/>
        </w:rPr>
        <w:t xml:space="preserve"> </w:t>
      </w:r>
      <w:r w:rsidRPr="00C03C6D">
        <w:rPr>
          <w:rStyle w:val="Strong"/>
        </w:rPr>
        <w:t xml:space="preserve">Originating </w:t>
      </w:r>
      <w:r w:rsidR="0061635C">
        <w:rPr>
          <w:rStyle w:val="Strong"/>
          <w:rFonts w:eastAsiaTheme="minorEastAsia" w:hint="eastAsia"/>
        </w:rPr>
        <w:t>in</w:t>
      </w:r>
      <w:r w:rsidRPr="00C03C6D">
        <w:rPr>
          <w:rStyle w:val="Strong"/>
        </w:rPr>
        <w:t xml:space="preserve"> the European Union</w:t>
      </w:r>
    </w:p>
    <w:p w14:paraId="46EBBBD0" w14:textId="77777777" w:rsidR="00C03C6D" w:rsidRDefault="00C03C6D" w:rsidP="00C03C6D">
      <w:pPr>
        <w:pStyle w:val="NormalWeb"/>
        <w:jc w:val="both"/>
        <w:rPr>
          <w:rStyle w:val="Strong"/>
        </w:rPr>
      </w:pPr>
    </w:p>
    <w:p w14:paraId="5C90FAC5" w14:textId="77777777" w:rsidR="00C03C6D" w:rsidRDefault="00C03C6D" w:rsidP="00C03C6D">
      <w:pPr>
        <w:pStyle w:val="NormalWeb"/>
        <w:snapToGrid w:val="0"/>
        <w:spacing w:before="0" w:beforeAutospacing="0" w:after="0" w:afterAutospacing="0"/>
        <w:jc w:val="both"/>
      </w:pPr>
      <w:r w:rsidRPr="00C03C6D">
        <w:rPr>
          <w:rStyle w:val="Strong"/>
        </w:rPr>
        <w:t>Issuing Authority</w:t>
      </w:r>
      <w:r w:rsidRPr="00C03C6D">
        <w:t xml:space="preserve">: Trade Remedy and Investigation Bureau </w:t>
      </w:r>
    </w:p>
    <w:p w14:paraId="40F13A19" w14:textId="740C5291" w:rsidR="00C03C6D" w:rsidRDefault="00C03C6D" w:rsidP="00C03C6D">
      <w:pPr>
        <w:pStyle w:val="NormalWeb"/>
        <w:snapToGrid w:val="0"/>
        <w:spacing w:before="0" w:beforeAutospacing="0" w:after="0" w:afterAutospacing="0"/>
        <w:jc w:val="both"/>
      </w:pPr>
      <w:r w:rsidRPr="00C03C6D">
        <w:rPr>
          <w:rStyle w:val="Strong"/>
        </w:rPr>
        <w:t>Document Number</w:t>
      </w:r>
      <w:r w:rsidRPr="00C03C6D">
        <w:t xml:space="preserve">: Ministry of Commerce Announcement No. </w:t>
      </w:r>
      <w:r w:rsidR="0061635C">
        <w:rPr>
          <w:rFonts w:eastAsiaTheme="minorEastAsia" w:hint="eastAsia"/>
        </w:rPr>
        <w:t>83</w:t>
      </w:r>
      <w:r w:rsidRPr="00C03C6D">
        <w:t xml:space="preserve"> of 2025 </w:t>
      </w:r>
    </w:p>
    <w:p w14:paraId="014EA575" w14:textId="4A4A1A8F" w:rsidR="00C03C6D" w:rsidRDefault="00C03C6D" w:rsidP="00C03C6D">
      <w:pPr>
        <w:pStyle w:val="NormalWeb"/>
        <w:snapToGrid w:val="0"/>
        <w:spacing w:before="0" w:beforeAutospacing="0" w:after="0" w:afterAutospacing="0"/>
        <w:jc w:val="both"/>
      </w:pPr>
      <w:r w:rsidRPr="00C03C6D">
        <w:rPr>
          <w:rStyle w:val="Strong"/>
        </w:rPr>
        <w:t>Date of Issue</w:t>
      </w:r>
      <w:r w:rsidRPr="00C03C6D">
        <w:t xml:space="preserve">: </w:t>
      </w:r>
      <w:r w:rsidR="0061635C">
        <w:rPr>
          <w:rFonts w:eastAsiaTheme="minorEastAsia" w:hint="eastAsia"/>
        </w:rPr>
        <w:t>22 December</w:t>
      </w:r>
      <w:r w:rsidRPr="00C03C6D">
        <w:t>, 2025</w:t>
      </w:r>
    </w:p>
    <w:p w14:paraId="412E1AD9" w14:textId="77777777" w:rsidR="00C03C6D" w:rsidRDefault="00C03C6D" w:rsidP="00C03C6D">
      <w:pPr>
        <w:pStyle w:val="NormalWeb"/>
        <w:jc w:val="both"/>
        <w:rPr>
          <w:rFonts w:eastAsiaTheme="minorEastAsia"/>
        </w:rPr>
      </w:pPr>
    </w:p>
    <w:p w14:paraId="0A7D408A" w14:textId="4F2466B2" w:rsidR="0061635C" w:rsidRPr="0061635C" w:rsidRDefault="0061635C" w:rsidP="0061635C">
      <w:pPr>
        <w:pStyle w:val="NormalWeb"/>
        <w:jc w:val="both"/>
        <w:rPr>
          <w:rFonts w:eastAsiaTheme="minorEastAsia"/>
        </w:rPr>
      </w:pPr>
      <w:r w:rsidRPr="0061635C">
        <w:rPr>
          <w:rFonts w:eastAsiaTheme="minorEastAsia"/>
        </w:rPr>
        <w:t xml:space="preserve">Pursuant to the provisions of the </w:t>
      </w:r>
      <w:r w:rsidRPr="0061635C">
        <w:rPr>
          <w:rFonts w:eastAsiaTheme="minorEastAsia"/>
          <w:i/>
          <w:iCs/>
        </w:rPr>
        <w:t>Countervailing Regulations of the People’s Republic of China</w:t>
      </w:r>
      <w:r w:rsidRPr="0061635C">
        <w:rPr>
          <w:rFonts w:eastAsiaTheme="minorEastAsia"/>
        </w:rPr>
        <w:t xml:space="preserve"> (hereinafter referred to as the “</w:t>
      </w:r>
      <w:r w:rsidRPr="0061635C">
        <w:rPr>
          <w:rFonts w:eastAsiaTheme="minorEastAsia"/>
          <w:i/>
          <w:iCs/>
        </w:rPr>
        <w:t>Countervailing Regulations</w:t>
      </w:r>
      <w:r w:rsidRPr="0061635C">
        <w:rPr>
          <w:rFonts w:eastAsiaTheme="minorEastAsia"/>
        </w:rPr>
        <w:t xml:space="preserve">”), on 21 August 2024, the Ministry of Commerce (hereinafter referred to as the “Investigating Authority”) issued </w:t>
      </w:r>
      <w:r>
        <w:rPr>
          <w:rFonts w:eastAsiaTheme="minorEastAsia" w:hint="eastAsia"/>
        </w:rPr>
        <w:t>Notice</w:t>
      </w:r>
      <w:r w:rsidRPr="0061635C">
        <w:rPr>
          <w:rFonts w:eastAsiaTheme="minorEastAsia"/>
        </w:rPr>
        <w:t xml:space="preserve"> No. 34 of 2024, deciding to initiate a countervailing investigation into imports of certain dairy products originating in the European Union (hereinafter referred to as the “Products under Investigation”).</w:t>
      </w:r>
    </w:p>
    <w:p w14:paraId="0221B013" w14:textId="77777777" w:rsidR="0061635C" w:rsidRPr="0061635C" w:rsidRDefault="0061635C" w:rsidP="0061635C">
      <w:pPr>
        <w:pStyle w:val="NormalWeb"/>
        <w:jc w:val="both"/>
        <w:rPr>
          <w:rFonts w:eastAsiaTheme="minorEastAsia"/>
        </w:rPr>
      </w:pPr>
      <w:r w:rsidRPr="0061635C">
        <w:rPr>
          <w:rFonts w:eastAsiaTheme="minorEastAsia"/>
        </w:rPr>
        <w:t xml:space="preserve">The Investigating Authority has examined whether the Products under Investigation are subsidised and the amount of any subsidisation, whether the Products under Investigation have caused injury to the domestic industry and the extent of such injury, and the causal link between the subsidisation and the injury. On the basis of the investigation findings and Article 25 of the </w:t>
      </w:r>
      <w:r w:rsidRPr="0061635C">
        <w:rPr>
          <w:rFonts w:eastAsiaTheme="minorEastAsia"/>
          <w:i/>
          <w:iCs/>
        </w:rPr>
        <w:t>Countervailing Regulations</w:t>
      </w:r>
      <w:r w:rsidRPr="0061635C">
        <w:rPr>
          <w:rFonts w:eastAsiaTheme="minorEastAsia"/>
        </w:rPr>
        <w:t>, the Investigating Authority has made a preliminary determination (see Attachment 1). The relevant matters are hereby announced as follows:</w:t>
      </w:r>
    </w:p>
    <w:p w14:paraId="616C7662" w14:textId="77777777" w:rsidR="0061635C" w:rsidRPr="0061635C" w:rsidRDefault="0061635C" w:rsidP="0061635C">
      <w:pPr>
        <w:pStyle w:val="NormalWeb"/>
        <w:jc w:val="both"/>
        <w:rPr>
          <w:rFonts w:eastAsiaTheme="minorEastAsia"/>
        </w:rPr>
      </w:pPr>
      <w:r w:rsidRPr="0061635C">
        <w:rPr>
          <w:rFonts w:eastAsiaTheme="minorEastAsia"/>
        </w:rPr>
        <w:t>I. Preliminary Determination</w:t>
      </w:r>
    </w:p>
    <w:p w14:paraId="19067143" w14:textId="77777777" w:rsidR="0061635C" w:rsidRPr="0061635C" w:rsidRDefault="0061635C" w:rsidP="0061635C">
      <w:pPr>
        <w:pStyle w:val="NormalWeb"/>
        <w:jc w:val="both"/>
        <w:rPr>
          <w:rFonts w:eastAsiaTheme="minorEastAsia"/>
        </w:rPr>
      </w:pPr>
      <w:r w:rsidRPr="0061635C">
        <w:rPr>
          <w:rFonts w:eastAsiaTheme="minorEastAsia"/>
        </w:rPr>
        <w:t>The Investigating Authority preliminarily determines that imports of certain dairy products originating in the European Union are subsidised, that the domestic industry producing certain dairy products in China has suffered material injury, and that there is a causal link between the subsidisation and the material injury.</w:t>
      </w:r>
    </w:p>
    <w:p w14:paraId="2733D1C9" w14:textId="77777777" w:rsidR="0061635C" w:rsidRPr="0061635C" w:rsidRDefault="0061635C" w:rsidP="0061635C">
      <w:pPr>
        <w:pStyle w:val="NormalWeb"/>
        <w:jc w:val="both"/>
        <w:rPr>
          <w:rFonts w:eastAsiaTheme="minorEastAsia"/>
        </w:rPr>
      </w:pPr>
      <w:r w:rsidRPr="0061635C">
        <w:rPr>
          <w:rFonts w:eastAsiaTheme="minorEastAsia"/>
        </w:rPr>
        <w:t>II. Provisional Countervailing Measures</w:t>
      </w:r>
    </w:p>
    <w:p w14:paraId="0A03D993" w14:textId="77777777" w:rsidR="0061635C" w:rsidRPr="0061635C" w:rsidRDefault="0061635C" w:rsidP="0061635C">
      <w:pPr>
        <w:pStyle w:val="NormalWeb"/>
        <w:jc w:val="both"/>
        <w:rPr>
          <w:rFonts w:eastAsiaTheme="minorEastAsia"/>
        </w:rPr>
      </w:pPr>
      <w:r w:rsidRPr="0061635C">
        <w:rPr>
          <w:rFonts w:eastAsiaTheme="minorEastAsia"/>
        </w:rPr>
        <w:t xml:space="preserve">In accordance with Articles 29 and 30 of the </w:t>
      </w:r>
      <w:r w:rsidRPr="0061635C">
        <w:rPr>
          <w:rFonts w:eastAsiaTheme="minorEastAsia"/>
          <w:i/>
          <w:iCs/>
        </w:rPr>
        <w:t>Countervailing Regulations</w:t>
      </w:r>
      <w:r w:rsidRPr="0061635C">
        <w:rPr>
          <w:rFonts w:eastAsiaTheme="minorEastAsia"/>
        </w:rPr>
        <w:t>, the Ministry of Commerce has submitted to the Tariff Commission of the State Council a proposal to apply provisional countervailing measures to imports of certain dairy products originating in the European Union. The Tariff Commission of the State Council, acting on the Ministry of Commerce’s proposal, has decided that, with effect from 23 December 2025, provisional countervailing measures shall be imposed on imports of certain dairy products originating in the European Union in the form of a provisional countervailing duty deposit.</w:t>
      </w:r>
    </w:p>
    <w:p w14:paraId="50BE8FCD" w14:textId="77777777" w:rsidR="0061635C" w:rsidRPr="0061635C" w:rsidRDefault="0061635C" w:rsidP="0061635C">
      <w:pPr>
        <w:pStyle w:val="NormalWeb"/>
        <w:jc w:val="both"/>
        <w:rPr>
          <w:rFonts w:eastAsiaTheme="minorEastAsia"/>
        </w:rPr>
      </w:pPr>
      <w:r w:rsidRPr="0061635C">
        <w:rPr>
          <w:rFonts w:eastAsiaTheme="minorEastAsia"/>
        </w:rPr>
        <w:t xml:space="preserve">When importing the Products under Investigation, importers shall provide the corresponding provisional countervailing duty deposit to the Customs of the People’s Republic of China in accordance with the </w:t>
      </w:r>
      <w:r w:rsidRPr="0061635C">
        <w:rPr>
          <w:rFonts w:eastAsiaTheme="minorEastAsia"/>
          <w:i/>
          <w:iCs/>
        </w:rPr>
        <w:t>ad valorem</w:t>
      </w:r>
      <w:r w:rsidRPr="0061635C">
        <w:rPr>
          <w:rFonts w:eastAsiaTheme="minorEastAsia"/>
        </w:rPr>
        <w:t xml:space="preserve"> subsidisation rates determined for each company in this preliminary determination.</w:t>
      </w:r>
    </w:p>
    <w:p w14:paraId="399F9C8A" w14:textId="77777777" w:rsidR="0061635C" w:rsidRPr="0061635C" w:rsidRDefault="0061635C" w:rsidP="0061635C">
      <w:pPr>
        <w:pStyle w:val="NormalWeb"/>
        <w:jc w:val="both"/>
        <w:rPr>
          <w:rFonts w:eastAsiaTheme="minorEastAsia"/>
        </w:rPr>
      </w:pPr>
      <w:r w:rsidRPr="0061635C">
        <w:rPr>
          <w:rFonts w:eastAsiaTheme="minorEastAsia"/>
        </w:rPr>
        <w:t>The Products under Investigation are described in detail as follows:</w:t>
      </w:r>
    </w:p>
    <w:p w14:paraId="3B4537A5" w14:textId="77777777" w:rsidR="0061635C" w:rsidRPr="0061635C" w:rsidRDefault="0061635C" w:rsidP="0061635C">
      <w:pPr>
        <w:pStyle w:val="NormalWeb"/>
        <w:jc w:val="both"/>
        <w:rPr>
          <w:rFonts w:eastAsiaTheme="minorEastAsia"/>
        </w:rPr>
      </w:pPr>
      <w:r w:rsidRPr="0061635C">
        <w:rPr>
          <w:rFonts w:eastAsiaTheme="minorEastAsia"/>
        </w:rPr>
        <w:t>Scope of Investigation: Imports of certain dairy products originating in the European Union.</w:t>
      </w:r>
    </w:p>
    <w:p w14:paraId="697482CA" w14:textId="77777777" w:rsidR="0061635C" w:rsidRPr="0061635C" w:rsidRDefault="0061635C" w:rsidP="0061635C">
      <w:pPr>
        <w:pStyle w:val="NormalWeb"/>
        <w:jc w:val="both"/>
        <w:rPr>
          <w:rFonts w:eastAsiaTheme="minorEastAsia"/>
        </w:rPr>
      </w:pPr>
      <w:r w:rsidRPr="0061635C">
        <w:rPr>
          <w:rFonts w:eastAsiaTheme="minorEastAsia"/>
        </w:rPr>
        <w:t>Name of Products under Investigation: Certain dairy products.</w:t>
      </w:r>
    </w:p>
    <w:p w14:paraId="32F82166" w14:textId="77777777" w:rsidR="0061635C" w:rsidRPr="0061635C" w:rsidRDefault="0061635C" w:rsidP="0061635C">
      <w:pPr>
        <w:pStyle w:val="NormalWeb"/>
        <w:jc w:val="both"/>
        <w:rPr>
          <w:rFonts w:eastAsiaTheme="minorEastAsia"/>
        </w:rPr>
      </w:pPr>
      <w:r w:rsidRPr="0061635C">
        <w:rPr>
          <w:rFonts w:eastAsiaTheme="minorEastAsia"/>
        </w:rPr>
        <w:lastRenderedPageBreak/>
        <w:t>Product description: The certain dairy products specifically include fresh cheese (including whey cheese) and curd, processed cheese (whether or not grated or powdered), blue-veined cheese and other cheese containing veins produced by Penicillium roqueforti, other cheese not elsewhere specified, and milk and cream, not concentrated nor containing added sugar or other sweetening matter, with a fat content by weight exceeding 10%.</w:t>
      </w:r>
    </w:p>
    <w:p w14:paraId="74262510" w14:textId="77777777" w:rsidR="0061635C" w:rsidRPr="0061635C" w:rsidRDefault="0061635C" w:rsidP="0061635C">
      <w:pPr>
        <w:pStyle w:val="NormalWeb"/>
        <w:jc w:val="both"/>
        <w:rPr>
          <w:rFonts w:eastAsiaTheme="minorEastAsia"/>
        </w:rPr>
      </w:pPr>
      <w:r w:rsidRPr="0061635C">
        <w:rPr>
          <w:rFonts w:eastAsiaTheme="minorEastAsia"/>
        </w:rPr>
        <w:t>Principal uses: Primarily used as food for direct human consumption or after further processing.</w:t>
      </w:r>
    </w:p>
    <w:p w14:paraId="7668BCF0" w14:textId="77777777" w:rsidR="0061635C" w:rsidRPr="0061635C" w:rsidRDefault="0061635C" w:rsidP="0061635C">
      <w:pPr>
        <w:pStyle w:val="NormalWeb"/>
        <w:jc w:val="both"/>
        <w:rPr>
          <w:rFonts w:eastAsiaTheme="minorEastAsia"/>
        </w:rPr>
      </w:pPr>
      <w:r w:rsidRPr="0061635C">
        <w:rPr>
          <w:rFonts w:eastAsiaTheme="minorEastAsia"/>
        </w:rPr>
        <w:t>The products fall under the following tariff codes in the Customs Import and Export Tariff of the People’s Republic of China: 04015000, 04061000, 04062000, 04063000, 04064000, 04069000.</w:t>
      </w:r>
    </w:p>
    <w:p w14:paraId="2B253335" w14:textId="63915A38" w:rsidR="0061635C" w:rsidRPr="0061635C" w:rsidRDefault="0061635C" w:rsidP="0061635C">
      <w:pPr>
        <w:pStyle w:val="NormalWeb"/>
        <w:jc w:val="both"/>
        <w:rPr>
          <w:rFonts w:eastAsiaTheme="minorEastAsia"/>
        </w:rPr>
      </w:pPr>
      <w:r w:rsidRPr="0061635C">
        <w:rPr>
          <w:rFonts w:eastAsiaTheme="minorEastAsia"/>
        </w:rPr>
        <w:t xml:space="preserve">The </w:t>
      </w:r>
      <w:r w:rsidR="00657676" w:rsidRPr="0061635C">
        <w:rPr>
          <w:rFonts w:eastAsiaTheme="minorEastAsia"/>
          <w:i/>
          <w:iCs/>
        </w:rPr>
        <w:t>ad valorem</w:t>
      </w:r>
      <w:r w:rsidR="00657676" w:rsidRPr="0061635C">
        <w:rPr>
          <w:rFonts w:eastAsiaTheme="minorEastAsia"/>
        </w:rPr>
        <w:t xml:space="preserve"> </w:t>
      </w:r>
      <w:r w:rsidRPr="0061635C">
        <w:rPr>
          <w:rFonts w:eastAsiaTheme="minorEastAsia"/>
        </w:rPr>
        <w:t>subsidisation rates for companies in the European Union are set out in Attachment 2 to this Announcement.</w:t>
      </w:r>
    </w:p>
    <w:p w14:paraId="4D2A4102" w14:textId="77777777" w:rsidR="0061635C" w:rsidRPr="0061635C" w:rsidRDefault="0061635C" w:rsidP="0061635C">
      <w:pPr>
        <w:pStyle w:val="NormalWeb"/>
        <w:jc w:val="both"/>
        <w:rPr>
          <w:rFonts w:eastAsiaTheme="minorEastAsia"/>
        </w:rPr>
      </w:pPr>
      <w:r w:rsidRPr="0061635C">
        <w:rPr>
          <w:rFonts w:eastAsiaTheme="minorEastAsia"/>
        </w:rPr>
        <w:t>III. Method of Levying Provisional Countervailing Duty Deposits</w:t>
      </w:r>
    </w:p>
    <w:p w14:paraId="690CD1E0" w14:textId="5D9803D7" w:rsidR="0061635C" w:rsidRPr="0061635C" w:rsidRDefault="0061635C" w:rsidP="0061635C">
      <w:pPr>
        <w:pStyle w:val="NormalWeb"/>
        <w:jc w:val="both"/>
        <w:rPr>
          <w:rFonts w:eastAsiaTheme="minorEastAsia"/>
        </w:rPr>
      </w:pPr>
      <w:r w:rsidRPr="0061635C">
        <w:rPr>
          <w:rFonts w:eastAsiaTheme="minorEastAsia"/>
        </w:rPr>
        <w:t xml:space="preserve">With effect from 23 December 2025, when importing certain dairy products originating in the European Union, importers shall provide the corresponding provisional countervailing duty deposit to the Customs of the People’s Republic of China in accordance with the </w:t>
      </w:r>
      <w:r w:rsidRPr="0061635C">
        <w:rPr>
          <w:rFonts w:eastAsiaTheme="minorEastAsia"/>
          <w:i/>
          <w:iCs/>
        </w:rPr>
        <w:t>ad valorem</w:t>
      </w:r>
      <w:r w:rsidRPr="0061635C">
        <w:rPr>
          <w:rFonts w:eastAsiaTheme="minorEastAsia"/>
        </w:rPr>
        <w:t xml:space="preserve"> subsidisation rates determined for each company in this preliminary determination. The provisional countervailing duty deposit shall be levied on the basis of the dutiable value of the imported goods as determined by Customs, with the calculation formula being: Amount of provisional countervailing duty deposit = Dutiable value of the imported goods as determined by Customs × Provisional countervailing duty deposit rate. The value-added tax deposit at the import stage shall be levied on the basis of the dutiable value of the imported goods as determined by Customs plus customs duties and the provisional countervailing duty deposit.</w:t>
      </w:r>
    </w:p>
    <w:p w14:paraId="2BDC6AA6" w14:textId="77777777" w:rsidR="0061635C" w:rsidRPr="0061635C" w:rsidRDefault="0061635C" w:rsidP="0061635C">
      <w:pPr>
        <w:pStyle w:val="NormalWeb"/>
        <w:jc w:val="both"/>
        <w:rPr>
          <w:rFonts w:eastAsiaTheme="minorEastAsia"/>
        </w:rPr>
      </w:pPr>
      <w:r w:rsidRPr="0061635C">
        <w:rPr>
          <w:rFonts w:eastAsiaTheme="minorEastAsia"/>
        </w:rPr>
        <w:t>IV. Comments</w:t>
      </w:r>
    </w:p>
    <w:p w14:paraId="41F427D7" w14:textId="77777777" w:rsidR="0061635C" w:rsidRPr="0061635C" w:rsidRDefault="0061635C" w:rsidP="0061635C">
      <w:pPr>
        <w:pStyle w:val="NormalWeb"/>
        <w:jc w:val="both"/>
        <w:rPr>
          <w:rFonts w:eastAsiaTheme="minorEastAsia"/>
        </w:rPr>
      </w:pPr>
      <w:r w:rsidRPr="0061635C">
        <w:rPr>
          <w:rFonts w:eastAsiaTheme="minorEastAsia"/>
        </w:rPr>
        <w:t>Interested parties may submit written comments to the Investigating Authority within 10 days from the date of publication of this Announcement.</w:t>
      </w:r>
    </w:p>
    <w:p w14:paraId="4EA92C29" w14:textId="77777777" w:rsidR="0061635C" w:rsidRPr="0061635C" w:rsidRDefault="0061635C" w:rsidP="0061635C">
      <w:pPr>
        <w:pStyle w:val="NormalWeb"/>
        <w:jc w:val="both"/>
        <w:rPr>
          <w:rFonts w:eastAsiaTheme="minorEastAsia"/>
        </w:rPr>
      </w:pPr>
      <w:r w:rsidRPr="0061635C">
        <w:rPr>
          <w:rFonts w:eastAsiaTheme="minorEastAsia"/>
        </w:rPr>
        <w:t>Attachments:</w:t>
      </w:r>
    </w:p>
    <w:p w14:paraId="3FA56960" w14:textId="334F305F" w:rsidR="0061635C" w:rsidRPr="0061635C" w:rsidRDefault="0061635C" w:rsidP="00AC06B5">
      <w:pPr>
        <w:pStyle w:val="NormalWeb"/>
        <w:numPr>
          <w:ilvl w:val="0"/>
          <w:numId w:val="9"/>
        </w:numPr>
        <w:jc w:val="both"/>
        <w:rPr>
          <w:rFonts w:eastAsiaTheme="minorEastAsia"/>
        </w:rPr>
      </w:pPr>
      <w:r w:rsidRPr="0061635C">
        <w:rPr>
          <w:rFonts w:eastAsiaTheme="minorEastAsia"/>
        </w:rPr>
        <w:t xml:space="preserve">Preliminary Determination of the Ministry of </w:t>
      </w:r>
      <w:r w:rsidR="00AC06B5">
        <w:rPr>
          <w:rFonts w:eastAsiaTheme="minorEastAsia" w:hint="eastAsia"/>
        </w:rPr>
        <w:t xml:space="preserve">Commerce </w:t>
      </w:r>
      <w:r w:rsidRPr="0061635C">
        <w:rPr>
          <w:rFonts w:eastAsiaTheme="minorEastAsia"/>
        </w:rPr>
        <w:t>on the Countervailing Investigation into Imports of Certain Dairy Products Originating in the European Union.pdf</w:t>
      </w:r>
    </w:p>
    <w:p w14:paraId="47C84EE8" w14:textId="07B27FC8" w:rsidR="0061635C" w:rsidRPr="0061635C" w:rsidRDefault="0061635C" w:rsidP="00AC06B5">
      <w:pPr>
        <w:pStyle w:val="NormalWeb"/>
        <w:numPr>
          <w:ilvl w:val="0"/>
          <w:numId w:val="9"/>
        </w:numPr>
        <w:jc w:val="both"/>
        <w:rPr>
          <w:rFonts w:eastAsiaTheme="minorEastAsia"/>
        </w:rPr>
      </w:pPr>
      <w:r w:rsidRPr="0061635C">
        <w:rPr>
          <w:rFonts w:eastAsiaTheme="minorEastAsia"/>
        </w:rPr>
        <w:t xml:space="preserve">List of </w:t>
      </w:r>
      <w:r w:rsidR="00657676" w:rsidRPr="0061635C">
        <w:rPr>
          <w:rFonts w:eastAsiaTheme="minorEastAsia"/>
          <w:i/>
          <w:iCs/>
        </w:rPr>
        <w:t>ad valorem</w:t>
      </w:r>
      <w:r w:rsidR="00657676" w:rsidRPr="0061635C">
        <w:rPr>
          <w:rFonts w:eastAsiaTheme="minorEastAsia"/>
        </w:rPr>
        <w:t xml:space="preserve"> </w:t>
      </w:r>
      <w:r w:rsidRPr="0061635C">
        <w:rPr>
          <w:rFonts w:eastAsiaTheme="minorEastAsia"/>
        </w:rPr>
        <w:t>Subsidisation Rates for Companies.pdf</w:t>
      </w:r>
    </w:p>
    <w:p w14:paraId="6A87FB9C" w14:textId="77777777" w:rsidR="0061635C" w:rsidRPr="0061635C" w:rsidRDefault="0061635C" w:rsidP="0061635C">
      <w:pPr>
        <w:pStyle w:val="NormalWeb"/>
        <w:jc w:val="both"/>
        <w:rPr>
          <w:rFonts w:eastAsiaTheme="minorEastAsia"/>
        </w:rPr>
      </w:pPr>
    </w:p>
    <w:p w14:paraId="7DCC8DFF" w14:textId="77777777" w:rsidR="0061635C" w:rsidRPr="0061635C" w:rsidRDefault="0061635C" w:rsidP="00AC06B5">
      <w:pPr>
        <w:pStyle w:val="NormalWeb"/>
        <w:spacing w:before="0" w:beforeAutospacing="0"/>
        <w:jc w:val="right"/>
        <w:rPr>
          <w:rFonts w:eastAsiaTheme="minorEastAsia"/>
        </w:rPr>
      </w:pPr>
      <w:r w:rsidRPr="0061635C">
        <w:rPr>
          <w:rFonts w:eastAsiaTheme="minorEastAsia"/>
        </w:rPr>
        <w:t>Ministry of Commerce</w:t>
      </w:r>
    </w:p>
    <w:p w14:paraId="7D8360CD" w14:textId="2B707948" w:rsidR="0061635C" w:rsidRPr="0061635C" w:rsidRDefault="0061635C" w:rsidP="00AC06B5">
      <w:pPr>
        <w:pStyle w:val="NormalWeb"/>
        <w:spacing w:before="0" w:beforeAutospacing="0"/>
        <w:jc w:val="right"/>
        <w:rPr>
          <w:rFonts w:eastAsiaTheme="minorEastAsia" w:hint="eastAsia"/>
        </w:rPr>
      </w:pPr>
      <w:r w:rsidRPr="0061635C">
        <w:rPr>
          <w:rFonts w:eastAsiaTheme="minorEastAsia"/>
        </w:rPr>
        <w:t>22 December 2025</w:t>
      </w:r>
    </w:p>
    <w:sectPr w:rsidR="0061635C" w:rsidRPr="006163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4C35" w14:textId="77777777" w:rsidR="00735582" w:rsidRDefault="00735582">
      <w:r>
        <w:separator/>
      </w:r>
    </w:p>
  </w:endnote>
  <w:endnote w:type="continuationSeparator" w:id="0">
    <w:p w14:paraId="49A02642" w14:textId="77777777" w:rsidR="00735582" w:rsidRDefault="007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A6CB" w14:textId="77777777" w:rsidR="00796D88" w:rsidRPr="00F01729" w:rsidRDefault="00796D88" w:rsidP="006E7509">
    <w:pPr>
      <w:autoSpaceDE w:val="0"/>
      <w:autoSpaceDN w:val="0"/>
      <w:adjustRightInd w:val="0"/>
      <w:rPr>
        <w:rFonts w:ascii="Arial" w:hAnsi="Arial" w:cs="Arial"/>
        <w:bCs/>
        <w:sz w:val="18"/>
        <w:szCs w:val="18"/>
      </w:rPr>
    </w:pPr>
    <w:r w:rsidRPr="00F01729">
      <w:rPr>
        <w:rFonts w:ascii="Arial" w:hAnsi="Arial" w:cs="Arial"/>
        <w:bCs/>
        <w:sz w:val="18"/>
        <w:szCs w:val="18"/>
      </w:rPr>
      <w:t>Disclaimer: This translation by the EU Delegation is provided as a working tool, and is provided "as is." No warranty of any kind, either expressed or implied, is made as to the accuracy, correctness, or reliability of any translations. Only the original official version should prevail as a source of reference.</w:t>
    </w:r>
  </w:p>
  <w:p w14:paraId="15B58F78" w14:textId="77777777" w:rsidR="00796D88" w:rsidRPr="00F01729" w:rsidRDefault="00796D88">
    <w:pPr>
      <w:pStyle w:val="Footer"/>
      <w:rPr>
        <w:sz w:val="18"/>
        <w:szCs w:val="18"/>
      </w:rPr>
    </w:pPr>
    <w:r w:rsidRPr="00F01729">
      <w:rPr>
        <w:rFonts w:ascii="SimSun" w:cs="SimSun" w:hint="eastAsia"/>
        <w:sz w:val="18"/>
        <w:szCs w:val="18"/>
        <w:lang w:val="zh-CN"/>
      </w:rPr>
      <w:t>免责声明：译文仅供工作参考，其内容仅代表原作者个人观点。</w:t>
    </w:r>
    <w:r w:rsidRPr="00F01729">
      <w:rPr>
        <w:rFonts w:ascii="SimSun" w:cs="SimSun" w:hint="eastAsia"/>
        <w:sz w:val="18"/>
        <w:szCs w:val="18"/>
        <w:lang w:val="fr-FR"/>
      </w:rPr>
      <w:t>欧盟驻华代表团</w:t>
    </w:r>
    <w:r w:rsidRPr="00F01729">
      <w:rPr>
        <w:rFonts w:ascii="SimSun" w:cs="SimSun" w:hint="eastAsia"/>
        <w:sz w:val="18"/>
        <w:szCs w:val="18"/>
        <w:lang w:val="zh-CN"/>
      </w:rPr>
      <w:t>对于译文内容的准确性、正确性、可靠性不负任何责任，具体内容请以官方原文为准。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9CC5" w14:textId="77777777" w:rsidR="00735582" w:rsidRDefault="00735582">
      <w:r>
        <w:separator/>
      </w:r>
    </w:p>
  </w:footnote>
  <w:footnote w:type="continuationSeparator" w:id="0">
    <w:p w14:paraId="053018CE" w14:textId="77777777" w:rsidR="00735582" w:rsidRDefault="0073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0E"/>
    <w:multiLevelType w:val="hybridMultilevel"/>
    <w:tmpl w:val="C7D25B46"/>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84E85"/>
    <w:multiLevelType w:val="hybridMultilevel"/>
    <w:tmpl w:val="6832B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D507D"/>
    <w:multiLevelType w:val="hybridMultilevel"/>
    <w:tmpl w:val="79AE8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05E3F"/>
    <w:multiLevelType w:val="hybridMultilevel"/>
    <w:tmpl w:val="2598B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E3EA5"/>
    <w:multiLevelType w:val="hybridMultilevel"/>
    <w:tmpl w:val="FB64EF8C"/>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3D0EA1"/>
    <w:multiLevelType w:val="hybridMultilevel"/>
    <w:tmpl w:val="C2140BC4"/>
    <w:lvl w:ilvl="0" w:tplc="C6403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946354"/>
    <w:multiLevelType w:val="hybridMultilevel"/>
    <w:tmpl w:val="C0588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2196B"/>
    <w:multiLevelType w:val="hybridMultilevel"/>
    <w:tmpl w:val="A2AE884E"/>
    <w:lvl w:ilvl="0" w:tplc="14B0FD6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276171"/>
    <w:multiLevelType w:val="hybridMultilevel"/>
    <w:tmpl w:val="BDF0358E"/>
    <w:lvl w:ilvl="0" w:tplc="39700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95531857">
    <w:abstractNumId w:val="3"/>
  </w:num>
  <w:num w:numId="2" w16cid:durableId="60100074">
    <w:abstractNumId w:val="1"/>
  </w:num>
  <w:num w:numId="3" w16cid:durableId="1279949110">
    <w:abstractNumId w:val="8"/>
  </w:num>
  <w:num w:numId="4" w16cid:durableId="744454148">
    <w:abstractNumId w:val="4"/>
  </w:num>
  <w:num w:numId="5" w16cid:durableId="832767763">
    <w:abstractNumId w:val="0"/>
  </w:num>
  <w:num w:numId="6" w16cid:durableId="1656638502">
    <w:abstractNumId w:val="5"/>
  </w:num>
  <w:num w:numId="7" w16cid:durableId="1574927372">
    <w:abstractNumId w:val="2"/>
  </w:num>
  <w:num w:numId="8" w16cid:durableId="1250581265">
    <w:abstractNumId w:val="7"/>
  </w:num>
  <w:num w:numId="9" w16cid:durableId="323899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7509"/>
    <w:rsid w:val="00005825"/>
    <w:rsid w:val="00014F53"/>
    <w:rsid w:val="00017D83"/>
    <w:rsid w:val="00020833"/>
    <w:rsid w:val="000216DB"/>
    <w:rsid w:val="00023423"/>
    <w:rsid w:val="00023A26"/>
    <w:rsid w:val="0003613E"/>
    <w:rsid w:val="00036378"/>
    <w:rsid w:val="0004127E"/>
    <w:rsid w:val="00042830"/>
    <w:rsid w:val="00045E0C"/>
    <w:rsid w:val="0004675F"/>
    <w:rsid w:val="00047285"/>
    <w:rsid w:val="00051327"/>
    <w:rsid w:val="0005314D"/>
    <w:rsid w:val="0005483F"/>
    <w:rsid w:val="0005707B"/>
    <w:rsid w:val="00060F7E"/>
    <w:rsid w:val="00066325"/>
    <w:rsid w:val="00070065"/>
    <w:rsid w:val="00072105"/>
    <w:rsid w:val="00080064"/>
    <w:rsid w:val="00080C07"/>
    <w:rsid w:val="0008226D"/>
    <w:rsid w:val="00083FE8"/>
    <w:rsid w:val="00085664"/>
    <w:rsid w:val="000867F1"/>
    <w:rsid w:val="000911D2"/>
    <w:rsid w:val="000913FE"/>
    <w:rsid w:val="00091C61"/>
    <w:rsid w:val="00094417"/>
    <w:rsid w:val="00095BFA"/>
    <w:rsid w:val="00096496"/>
    <w:rsid w:val="00096BF8"/>
    <w:rsid w:val="000A06E8"/>
    <w:rsid w:val="000A0FA0"/>
    <w:rsid w:val="000A5CCD"/>
    <w:rsid w:val="000A5DE8"/>
    <w:rsid w:val="000A7246"/>
    <w:rsid w:val="000A7C0F"/>
    <w:rsid w:val="000B3AF0"/>
    <w:rsid w:val="000B748B"/>
    <w:rsid w:val="000C3648"/>
    <w:rsid w:val="000D684F"/>
    <w:rsid w:val="000E2EEF"/>
    <w:rsid w:val="000F055E"/>
    <w:rsid w:val="000F20E4"/>
    <w:rsid w:val="000F220E"/>
    <w:rsid w:val="000F36A2"/>
    <w:rsid w:val="000F3803"/>
    <w:rsid w:val="000F73B8"/>
    <w:rsid w:val="0010088E"/>
    <w:rsid w:val="001025CF"/>
    <w:rsid w:val="00102D22"/>
    <w:rsid w:val="00104285"/>
    <w:rsid w:val="00104851"/>
    <w:rsid w:val="0010553C"/>
    <w:rsid w:val="0010646E"/>
    <w:rsid w:val="00110951"/>
    <w:rsid w:val="001131F9"/>
    <w:rsid w:val="001134BD"/>
    <w:rsid w:val="0012092D"/>
    <w:rsid w:val="001213D3"/>
    <w:rsid w:val="00123BD8"/>
    <w:rsid w:val="00123F6C"/>
    <w:rsid w:val="001262AC"/>
    <w:rsid w:val="00127B2D"/>
    <w:rsid w:val="001319D3"/>
    <w:rsid w:val="00132064"/>
    <w:rsid w:val="001327D3"/>
    <w:rsid w:val="001349EB"/>
    <w:rsid w:val="001356B2"/>
    <w:rsid w:val="00140DE0"/>
    <w:rsid w:val="001449DF"/>
    <w:rsid w:val="00145A74"/>
    <w:rsid w:val="00146BBF"/>
    <w:rsid w:val="00146D73"/>
    <w:rsid w:val="001509D3"/>
    <w:rsid w:val="00150C66"/>
    <w:rsid w:val="00156BC9"/>
    <w:rsid w:val="001607D5"/>
    <w:rsid w:val="0017313D"/>
    <w:rsid w:val="001735BD"/>
    <w:rsid w:val="001739EE"/>
    <w:rsid w:val="00175789"/>
    <w:rsid w:val="00177F69"/>
    <w:rsid w:val="00180C91"/>
    <w:rsid w:val="0018139E"/>
    <w:rsid w:val="001865CB"/>
    <w:rsid w:val="0019298C"/>
    <w:rsid w:val="00192F4F"/>
    <w:rsid w:val="00193C6B"/>
    <w:rsid w:val="001956C1"/>
    <w:rsid w:val="001A485C"/>
    <w:rsid w:val="001A605F"/>
    <w:rsid w:val="001B40D7"/>
    <w:rsid w:val="001B5139"/>
    <w:rsid w:val="001B53C9"/>
    <w:rsid w:val="001B7066"/>
    <w:rsid w:val="001B7359"/>
    <w:rsid w:val="001C0E18"/>
    <w:rsid w:val="001F6D7C"/>
    <w:rsid w:val="001F7068"/>
    <w:rsid w:val="001F7E2A"/>
    <w:rsid w:val="00202CA8"/>
    <w:rsid w:val="0020311B"/>
    <w:rsid w:val="00203C56"/>
    <w:rsid w:val="00204E8E"/>
    <w:rsid w:val="00210217"/>
    <w:rsid w:val="002108ED"/>
    <w:rsid w:val="00216CFD"/>
    <w:rsid w:val="00217DE5"/>
    <w:rsid w:val="00223F01"/>
    <w:rsid w:val="00224BCC"/>
    <w:rsid w:val="00225E5E"/>
    <w:rsid w:val="00232779"/>
    <w:rsid w:val="00235D53"/>
    <w:rsid w:val="002419A8"/>
    <w:rsid w:val="00244696"/>
    <w:rsid w:val="00246571"/>
    <w:rsid w:val="0024658F"/>
    <w:rsid w:val="002477A0"/>
    <w:rsid w:val="002519EF"/>
    <w:rsid w:val="00252B1B"/>
    <w:rsid w:val="00253458"/>
    <w:rsid w:val="00255F9D"/>
    <w:rsid w:val="002573EE"/>
    <w:rsid w:val="002651FE"/>
    <w:rsid w:val="00265BF7"/>
    <w:rsid w:val="00271A2D"/>
    <w:rsid w:val="00272C74"/>
    <w:rsid w:val="00274C88"/>
    <w:rsid w:val="002755D8"/>
    <w:rsid w:val="00277009"/>
    <w:rsid w:val="00277354"/>
    <w:rsid w:val="002773BE"/>
    <w:rsid w:val="00280EBB"/>
    <w:rsid w:val="002908F6"/>
    <w:rsid w:val="00290F2B"/>
    <w:rsid w:val="002917EA"/>
    <w:rsid w:val="00293FDC"/>
    <w:rsid w:val="002940B4"/>
    <w:rsid w:val="00294A32"/>
    <w:rsid w:val="002963E5"/>
    <w:rsid w:val="002A45C1"/>
    <w:rsid w:val="002B1FC2"/>
    <w:rsid w:val="002B3AC5"/>
    <w:rsid w:val="002B5471"/>
    <w:rsid w:val="002B78CB"/>
    <w:rsid w:val="002B7E88"/>
    <w:rsid w:val="002D1716"/>
    <w:rsid w:val="002D179B"/>
    <w:rsid w:val="002D4328"/>
    <w:rsid w:val="002D499D"/>
    <w:rsid w:val="002D5DF7"/>
    <w:rsid w:val="002E09A7"/>
    <w:rsid w:val="002E420F"/>
    <w:rsid w:val="002E4478"/>
    <w:rsid w:val="002F2DB3"/>
    <w:rsid w:val="002F6936"/>
    <w:rsid w:val="002F7455"/>
    <w:rsid w:val="00302ACA"/>
    <w:rsid w:val="003076E1"/>
    <w:rsid w:val="00312EEC"/>
    <w:rsid w:val="003139C7"/>
    <w:rsid w:val="00316B61"/>
    <w:rsid w:val="00325634"/>
    <w:rsid w:val="00326CC8"/>
    <w:rsid w:val="003364F0"/>
    <w:rsid w:val="003374AF"/>
    <w:rsid w:val="003406FD"/>
    <w:rsid w:val="00343C0D"/>
    <w:rsid w:val="00347493"/>
    <w:rsid w:val="00354058"/>
    <w:rsid w:val="003579CC"/>
    <w:rsid w:val="00362C93"/>
    <w:rsid w:val="00370C0A"/>
    <w:rsid w:val="003747CD"/>
    <w:rsid w:val="00376614"/>
    <w:rsid w:val="0038402B"/>
    <w:rsid w:val="00384769"/>
    <w:rsid w:val="00386783"/>
    <w:rsid w:val="003924D9"/>
    <w:rsid w:val="00394F65"/>
    <w:rsid w:val="00396C39"/>
    <w:rsid w:val="003A3B3A"/>
    <w:rsid w:val="003A4461"/>
    <w:rsid w:val="003B00A9"/>
    <w:rsid w:val="003B04B5"/>
    <w:rsid w:val="003B0EBB"/>
    <w:rsid w:val="003B1776"/>
    <w:rsid w:val="003B1B4C"/>
    <w:rsid w:val="003B1F75"/>
    <w:rsid w:val="003B3B78"/>
    <w:rsid w:val="003B4A4D"/>
    <w:rsid w:val="003C41C7"/>
    <w:rsid w:val="003C714C"/>
    <w:rsid w:val="003C7284"/>
    <w:rsid w:val="003C7ED4"/>
    <w:rsid w:val="003D090F"/>
    <w:rsid w:val="003D0B65"/>
    <w:rsid w:val="003D22A7"/>
    <w:rsid w:val="003D340B"/>
    <w:rsid w:val="003D4DB6"/>
    <w:rsid w:val="003E11FA"/>
    <w:rsid w:val="003E392D"/>
    <w:rsid w:val="003E6A93"/>
    <w:rsid w:val="003E7FC0"/>
    <w:rsid w:val="003F0C8A"/>
    <w:rsid w:val="003F1AEA"/>
    <w:rsid w:val="003F1C3E"/>
    <w:rsid w:val="003F5BC8"/>
    <w:rsid w:val="003F6F7F"/>
    <w:rsid w:val="004002BE"/>
    <w:rsid w:val="004025EB"/>
    <w:rsid w:val="004062F7"/>
    <w:rsid w:val="004104B1"/>
    <w:rsid w:val="00410890"/>
    <w:rsid w:val="004157B5"/>
    <w:rsid w:val="00416C27"/>
    <w:rsid w:val="004218B7"/>
    <w:rsid w:val="00426DEC"/>
    <w:rsid w:val="00432356"/>
    <w:rsid w:val="00432479"/>
    <w:rsid w:val="004326A1"/>
    <w:rsid w:val="00434A7C"/>
    <w:rsid w:val="0043611E"/>
    <w:rsid w:val="004412A1"/>
    <w:rsid w:val="004422B7"/>
    <w:rsid w:val="004457F4"/>
    <w:rsid w:val="00445E63"/>
    <w:rsid w:val="00446332"/>
    <w:rsid w:val="00450F02"/>
    <w:rsid w:val="0045221C"/>
    <w:rsid w:val="00453068"/>
    <w:rsid w:val="00453A98"/>
    <w:rsid w:val="0045596C"/>
    <w:rsid w:val="00455DE5"/>
    <w:rsid w:val="004621E0"/>
    <w:rsid w:val="0046580B"/>
    <w:rsid w:val="004670C8"/>
    <w:rsid w:val="00470E33"/>
    <w:rsid w:val="00471741"/>
    <w:rsid w:val="00471CBA"/>
    <w:rsid w:val="004753A6"/>
    <w:rsid w:val="00482319"/>
    <w:rsid w:val="0048596F"/>
    <w:rsid w:val="00485FAA"/>
    <w:rsid w:val="00490A0E"/>
    <w:rsid w:val="0049118F"/>
    <w:rsid w:val="004940C3"/>
    <w:rsid w:val="004942AC"/>
    <w:rsid w:val="00494971"/>
    <w:rsid w:val="00496CC1"/>
    <w:rsid w:val="00497C2A"/>
    <w:rsid w:val="004A0248"/>
    <w:rsid w:val="004A5877"/>
    <w:rsid w:val="004A5FB1"/>
    <w:rsid w:val="004A7850"/>
    <w:rsid w:val="004A7D78"/>
    <w:rsid w:val="004B2098"/>
    <w:rsid w:val="004B2823"/>
    <w:rsid w:val="004B344B"/>
    <w:rsid w:val="004B5267"/>
    <w:rsid w:val="004B75C2"/>
    <w:rsid w:val="004B78E6"/>
    <w:rsid w:val="004C1618"/>
    <w:rsid w:val="004C1F91"/>
    <w:rsid w:val="004C306C"/>
    <w:rsid w:val="004C6EFD"/>
    <w:rsid w:val="004C7D81"/>
    <w:rsid w:val="004D32A2"/>
    <w:rsid w:val="004D4E2F"/>
    <w:rsid w:val="004D6AF3"/>
    <w:rsid w:val="004E0A57"/>
    <w:rsid w:val="004E1177"/>
    <w:rsid w:val="004E448E"/>
    <w:rsid w:val="004E5CB1"/>
    <w:rsid w:val="004E6634"/>
    <w:rsid w:val="004E66EA"/>
    <w:rsid w:val="004E7184"/>
    <w:rsid w:val="004F00FC"/>
    <w:rsid w:val="004F4426"/>
    <w:rsid w:val="004F5839"/>
    <w:rsid w:val="004F58E9"/>
    <w:rsid w:val="004F6CE6"/>
    <w:rsid w:val="00500200"/>
    <w:rsid w:val="005005F4"/>
    <w:rsid w:val="0051086C"/>
    <w:rsid w:val="00511213"/>
    <w:rsid w:val="00513932"/>
    <w:rsid w:val="00514106"/>
    <w:rsid w:val="00514DB1"/>
    <w:rsid w:val="0051534B"/>
    <w:rsid w:val="00515F1B"/>
    <w:rsid w:val="00516EFD"/>
    <w:rsid w:val="005172FC"/>
    <w:rsid w:val="00517EC6"/>
    <w:rsid w:val="00523203"/>
    <w:rsid w:val="00524928"/>
    <w:rsid w:val="005254A6"/>
    <w:rsid w:val="00526151"/>
    <w:rsid w:val="00526657"/>
    <w:rsid w:val="005309EF"/>
    <w:rsid w:val="005313AA"/>
    <w:rsid w:val="0053356B"/>
    <w:rsid w:val="00535B8A"/>
    <w:rsid w:val="005404BB"/>
    <w:rsid w:val="005406F7"/>
    <w:rsid w:val="00540C85"/>
    <w:rsid w:val="00543582"/>
    <w:rsid w:val="00550741"/>
    <w:rsid w:val="00551E78"/>
    <w:rsid w:val="0055645D"/>
    <w:rsid w:val="005573F6"/>
    <w:rsid w:val="00566E55"/>
    <w:rsid w:val="00567561"/>
    <w:rsid w:val="00570B7E"/>
    <w:rsid w:val="00576CBD"/>
    <w:rsid w:val="00585A54"/>
    <w:rsid w:val="00587F04"/>
    <w:rsid w:val="00590D02"/>
    <w:rsid w:val="00591886"/>
    <w:rsid w:val="00593F8E"/>
    <w:rsid w:val="0059439C"/>
    <w:rsid w:val="0059500E"/>
    <w:rsid w:val="005951A2"/>
    <w:rsid w:val="005A0960"/>
    <w:rsid w:val="005A1194"/>
    <w:rsid w:val="005A5F3C"/>
    <w:rsid w:val="005B1618"/>
    <w:rsid w:val="005C298B"/>
    <w:rsid w:val="005C3535"/>
    <w:rsid w:val="005C4BEC"/>
    <w:rsid w:val="005C5717"/>
    <w:rsid w:val="005D233C"/>
    <w:rsid w:val="005D3F49"/>
    <w:rsid w:val="005D51E7"/>
    <w:rsid w:val="005E379A"/>
    <w:rsid w:val="005E7C45"/>
    <w:rsid w:val="005F0F26"/>
    <w:rsid w:val="005F1A77"/>
    <w:rsid w:val="005F4A36"/>
    <w:rsid w:val="005F4CDF"/>
    <w:rsid w:val="005F797E"/>
    <w:rsid w:val="00607D0A"/>
    <w:rsid w:val="00610AEA"/>
    <w:rsid w:val="00613340"/>
    <w:rsid w:val="0061635C"/>
    <w:rsid w:val="00621D89"/>
    <w:rsid w:val="00623437"/>
    <w:rsid w:val="00626E42"/>
    <w:rsid w:val="00626FAD"/>
    <w:rsid w:val="006347E6"/>
    <w:rsid w:val="00635316"/>
    <w:rsid w:val="00636EE3"/>
    <w:rsid w:val="006414FB"/>
    <w:rsid w:val="0064207A"/>
    <w:rsid w:val="00651610"/>
    <w:rsid w:val="00651AED"/>
    <w:rsid w:val="00653D65"/>
    <w:rsid w:val="00657676"/>
    <w:rsid w:val="00657BA7"/>
    <w:rsid w:val="00663881"/>
    <w:rsid w:val="00665147"/>
    <w:rsid w:val="00665BC5"/>
    <w:rsid w:val="00675B23"/>
    <w:rsid w:val="006802AD"/>
    <w:rsid w:val="00685C38"/>
    <w:rsid w:val="00687BE0"/>
    <w:rsid w:val="006902BC"/>
    <w:rsid w:val="006946CF"/>
    <w:rsid w:val="006A2BD1"/>
    <w:rsid w:val="006A4F46"/>
    <w:rsid w:val="006A742A"/>
    <w:rsid w:val="006B0993"/>
    <w:rsid w:val="006B35DB"/>
    <w:rsid w:val="006B3E8B"/>
    <w:rsid w:val="006B6BDB"/>
    <w:rsid w:val="006B71DC"/>
    <w:rsid w:val="006C58DB"/>
    <w:rsid w:val="006D0985"/>
    <w:rsid w:val="006D556D"/>
    <w:rsid w:val="006E053A"/>
    <w:rsid w:val="006E26B2"/>
    <w:rsid w:val="006E3D49"/>
    <w:rsid w:val="006E7509"/>
    <w:rsid w:val="006E7ECF"/>
    <w:rsid w:val="006F1B3F"/>
    <w:rsid w:val="006F40F6"/>
    <w:rsid w:val="006F6ADC"/>
    <w:rsid w:val="006F6EE0"/>
    <w:rsid w:val="00700287"/>
    <w:rsid w:val="007040B2"/>
    <w:rsid w:val="00704FDA"/>
    <w:rsid w:val="00707214"/>
    <w:rsid w:val="00710E64"/>
    <w:rsid w:val="0071174B"/>
    <w:rsid w:val="00712A35"/>
    <w:rsid w:val="00713094"/>
    <w:rsid w:val="00714F48"/>
    <w:rsid w:val="007208F8"/>
    <w:rsid w:val="00720924"/>
    <w:rsid w:val="007223EC"/>
    <w:rsid w:val="007241F4"/>
    <w:rsid w:val="00730092"/>
    <w:rsid w:val="00731E4B"/>
    <w:rsid w:val="007340DC"/>
    <w:rsid w:val="00735582"/>
    <w:rsid w:val="00736FCF"/>
    <w:rsid w:val="007374F1"/>
    <w:rsid w:val="007377C0"/>
    <w:rsid w:val="00740D3C"/>
    <w:rsid w:val="007434A1"/>
    <w:rsid w:val="0074362E"/>
    <w:rsid w:val="0074632A"/>
    <w:rsid w:val="00746A8C"/>
    <w:rsid w:val="0075319D"/>
    <w:rsid w:val="00753AFF"/>
    <w:rsid w:val="00753E1F"/>
    <w:rsid w:val="007556FF"/>
    <w:rsid w:val="00756985"/>
    <w:rsid w:val="00756B14"/>
    <w:rsid w:val="00762E9C"/>
    <w:rsid w:val="007643B0"/>
    <w:rsid w:val="00765F1C"/>
    <w:rsid w:val="0077585D"/>
    <w:rsid w:val="007806F0"/>
    <w:rsid w:val="00791383"/>
    <w:rsid w:val="007921C8"/>
    <w:rsid w:val="00793412"/>
    <w:rsid w:val="00796D88"/>
    <w:rsid w:val="007A02FC"/>
    <w:rsid w:val="007A1703"/>
    <w:rsid w:val="007A61F8"/>
    <w:rsid w:val="007A72DD"/>
    <w:rsid w:val="007A7303"/>
    <w:rsid w:val="007B4B89"/>
    <w:rsid w:val="007C22BA"/>
    <w:rsid w:val="007C2898"/>
    <w:rsid w:val="007C518C"/>
    <w:rsid w:val="007C5AB7"/>
    <w:rsid w:val="007C7AE3"/>
    <w:rsid w:val="007D071F"/>
    <w:rsid w:val="007D1979"/>
    <w:rsid w:val="007D271F"/>
    <w:rsid w:val="007D2C54"/>
    <w:rsid w:val="007D57BE"/>
    <w:rsid w:val="007E0E43"/>
    <w:rsid w:val="007E2D8F"/>
    <w:rsid w:val="007E485C"/>
    <w:rsid w:val="007E5E31"/>
    <w:rsid w:val="007E7074"/>
    <w:rsid w:val="007F5E93"/>
    <w:rsid w:val="007F5FF4"/>
    <w:rsid w:val="007F656F"/>
    <w:rsid w:val="007F6E85"/>
    <w:rsid w:val="0080031A"/>
    <w:rsid w:val="00801747"/>
    <w:rsid w:val="008064C0"/>
    <w:rsid w:val="00806730"/>
    <w:rsid w:val="00807879"/>
    <w:rsid w:val="00816E6D"/>
    <w:rsid w:val="00816F8E"/>
    <w:rsid w:val="00821F64"/>
    <w:rsid w:val="008227AF"/>
    <w:rsid w:val="00823296"/>
    <w:rsid w:val="008261A4"/>
    <w:rsid w:val="008277CC"/>
    <w:rsid w:val="00831B75"/>
    <w:rsid w:val="00834E7D"/>
    <w:rsid w:val="00837E41"/>
    <w:rsid w:val="0084025A"/>
    <w:rsid w:val="008404DD"/>
    <w:rsid w:val="0084196C"/>
    <w:rsid w:val="0084253B"/>
    <w:rsid w:val="008466C6"/>
    <w:rsid w:val="008468C8"/>
    <w:rsid w:val="00850683"/>
    <w:rsid w:val="00850B7E"/>
    <w:rsid w:val="008511C5"/>
    <w:rsid w:val="008549EA"/>
    <w:rsid w:val="0085655F"/>
    <w:rsid w:val="0085664A"/>
    <w:rsid w:val="00857690"/>
    <w:rsid w:val="00863BF0"/>
    <w:rsid w:val="00865373"/>
    <w:rsid w:val="00867A42"/>
    <w:rsid w:val="00867D63"/>
    <w:rsid w:val="008744B4"/>
    <w:rsid w:val="008761D9"/>
    <w:rsid w:val="0087793C"/>
    <w:rsid w:val="0088078C"/>
    <w:rsid w:val="008819D2"/>
    <w:rsid w:val="00887B37"/>
    <w:rsid w:val="0089072E"/>
    <w:rsid w:val="008969ED"/>
    <w:rsid w:val="00897CB6"/>
    <w:rsid w:val="008A03E7"/>
    <w:rsid w:val="008A4E31"/>
    <w:rsid w:val="008B2318"/>
    <w:rsid w:val="008B5B4A"/>
    <w:rsid w:val="008B651B"/>
    <w:rsid w:val="008C687C"/>
    <w:rsid w:val="008C6BA4"/>
    <w:rsid w:val="008D2618"/>
    <w:rsid w:val="008D3684"/>
    <w:rsid w:val="008D5063"/>
    <w:rsid w:val="008E08C7"/>
    <w:rsid w:val="008E0C6E"/>
    <w:rsid w:val="008E16DA"/>
    <w:rsid w:val="008E1D38"/>
    <w:rsid w:val="008E2E8D"/>
    <w:rsid w:val="008E3668"/>
    <w:rsid w:val="008E6EAF"/>
    <w:rsid w:val="008F1E55"/>
    <w:rsid w:val="008F2712"/>
    <w:rsid w:val="008F2723"/>
    <w:rsid w:val="00912283"/>
    <w:rsid w:val="00913740"/>
    <w:rsid w:val="00916C44"/>
    <w:rsid w:val="00935831"/>
    <w:rsid w:val="00935F62"/>
    <w:rsid w:val="00940901"/>
    <w:rsid w:val="009409D6"/>
    <w:rsid w:val="0094289C"/>
    <w:rsid w:val="009440C4"/>
    <w:rsid w:val="009447CD"/>
    <w:rsid w:val="009500DD"/>
    <w:rsid w:val="009530D3"/>
    <w:rsid w:val="00955130"/>
    <w:rsid w:val="009555F2"/>
    <w:rsid w:val="00967290"/>
    <w:rsid w:val="00970A82"/>
    <w:rsid w:val="00971499"/>
    <w:rsid w:val="00972540"/>
    <w:rsid w:val="00975E1B"/>
    <w:rsid w:val="009802AD"/>
    <w:rsid w:val="0098088D"/>
    <w:rsid w:val="0098133D"/>
    <w:rsid w:val="00986488"/>
    <w:rsid w:val="009866C0"/>
    <w:rsid w:val="00987370"/>
    <w:rsid w:val="009902E3"/>
    <w:rsid w:val="0099216E"/>
    <w:rsid w:val="00992652"/>
    <w:rsid w:val="00992E5F"/>
    <w:rsid w:val="00993C2A"/>
    <w:rsid w:val="00993E2A"/>
    <w:rsid w:val="0099410C"/>
    <w:rsid w:val="00995C74"/>
    <w:rsid w:val="009A37E3"/>
    <w:rsid w:val="009B0175"/>
    <w:rsid w:val="009B21E9"/>
    <w:rsid w:val="009B5607"/>
    <w:rsid w:val="009C02D0"/>
    <w:rsid w:val="009C288F"/>
    <w:rsid w:val="009C3CB7"/>
    <w:rsid w:val="009C5DB4"/>
    <w:rsid w:val="009C731E"/>
    <w:rsid w:val="009C7370"/>
    <w:rsid w:val="009D0B45"/>
    <w:rsid w:val="009D39FE"/>
    <w:rsid w:val="009D6101"/>
    <w:rsid w:val="009E2F8D"/>
    <w:rsid w:val="009E33BE"/>
    <w:rsid w:val="009E566A"/>
    <w:rsid w:val="009E76B8"/>
    <w:rsid w:val="009F3DEF"/>
    <w:rsid w:val="009F44E3"/>
    <w:rsid w:val="009F4EB3"/>
    <w:rsid w:val="00A012C3"/>
    <w:rsid w:val="00A02207"/>
    <w:rsid w:val="00A046B8"/>
    <w:rsid w:val="00A15594"/>
    <w:rsid w:val="00A15B3E"/>
    <w:rsid w:val="00A17082"/>
    <w:rsid w:val="00A20BEF"/>
    <w:rsid w:val="00A20FD4"/>
    <w:rsid w:val="00A25171"/>
    <w:rsid w:val="00A3270C"/>
    <w:rsid w:val="00A32E01"/>
    <w:rsid w:val="00A352FE"/>
    <w:rsid w:val="00A3604B"/>
    <w:rsid w:val="00A40278"/>
    <w:rsid w:val="00A40FFA"/>
    <w:rsid w:val="00A412CD"/>
    <w:rsid w:val="00A41D19"/>
    <w:rsid w:val="00A439A5"/>
    <w:rsid w:val="00A51B49"/>
    <w:rsid w:val="00A57E5A"/>
    <w:rsid w:val="00A61D42"/>
    <w:rsid w:val="00A65961"/>
    <w:rsid w:val="00A664D0"/>
    <w:rsid w:val="00A707AB"/>
    <w:rsid w:val="00A72D96"/>
    <w:rsid w:val="00A80A87"/>
    <w:rsid w:val="00A82607"/>
    <w:rsid w:val="00A83946"/>
    <w:rsid w:val="00A87AC2"/>
    <w:rsid w:val="00A90308"/>
    <w:rsid w:val="00A915B9"/>
    <w:rsid w:val="00AA0638"/>
    <w:rsid w:val="00AA0FE4"/>
    <w:rsid w:val="00AA14BF"/>
    <w:rsid w:val="00AA18DC"/>
    <w:rsid w:val="00AA3D2A"/>
    <w:rsid w:val="00AA672E"/>
    <w:rsid w:val="00AA7DE5"/>
    <w:rsid w:val="00AB5D35"/>
    <w:rsid w:val="00AB7995"/>
    <w:rsid w:val="00AC06B5"/>
    <w:rsid w:val="00AC5137"/>
    <w:rsid w:val="00AC5461"/>
    <w:rsid w:val="00AD4458"/>
    <w:rsid w:val="00AD5DBF"/>
    <w:rsid w:val="00AD6F1A"/>
    <w:rsid w:val="00AE19C1"/>
    <w:rsid w:val="00AE71EB"/>
    <w:rsid w:val="00AF287A"/>
    <w:rsid w:val="00AF5374"/>
    <w:rsid w:val="00AF599C"/>
    <w:rsid w:val="00AF68F0"/>
    <w:rsid w:val="00AF714F"/>
    <w:rsid w:val="00AF7214"/>
    <w:rsid w:val="00B00B05"/>
    <w:rsid w:val="00B01148"/>
    <w:rsid w:val="00B022D3"/>
    <w:rsid w:val="00B0350D"/>
    <w:rsid w:val="00B05DF5"/>
    <w:rsid w:val="00B11454"/>
    <w:rsid w:val="00B114BD"/>
    <w:rsid w:val="00B16F02"/>
    <w:rsid w:val="00B21A0D"/>
    <w:rsid w:val="00B27B04"/>
    <w:rsid w:val="00B27B90"/>
    <w:rsid w:val="00B31F5F"/>
    <w:rsid w:val="00B32323"/>
    <w:rsid w:val="00B42985"/>
    <w:rsid w:val="00B465AA"/>
    <w:rsid w:val="00B55129"/>
    <w:rsid w:val="00B60BF0"/>
    <w:rsid w:val="00B61EEC"/>
    <w:rsid w:val="00B62D24"/>
    <w:rsid w:val="00B645DF"/>
    <w:rsid w:val="00B64E0A"/>
    <w:rsid w:val="00B674B4"/>
    <w:rsid w:val="00B6750D"/>
    <w:rsid w:val="00B71E4D"/>
    <w:rsid w:val="00B723A5"/>
    <w:rsid w:val="00B76443"/>
    <w:rsid w:val="00B80B09"/>
    <w:rsid w:val="00B811D0"/>
    <w:rsid w:val="00B82F1E"/>
    <w:rsid w:val="00B845AF"/>
    <w:rsid w:val="00B84F95"/>
    <w:rsid w:val="00B8515D"/>
    <w:rsid w:val="00B858B6"/>
    <w:rsid w:val="00B91852"/>
    <w:rsid w:val="00B94506"/>
    <w:rsid w:val="00B94992"/>
    <w:rsid w:val="00B97C54"/>
    <w:rsid w:val="00BA1652"/>
    <w:rsid w:val="00BA1F31"/>
    <w:rsid w:val="00BA4655"/>
    <w:rsid w:val="00BA738D"/>
    <w:rsid w:val="00BB5E28"/>
    <w:rsid w:val="00BC1B87"/>
    <w:rsid w:val="00BC24FA"/>
    <w:rsid w:val="00BC3EC9"/>
    <w:rsid w:val="00BD27D3"/>
    <w:rsid w:val="00BD7CB6"/>
    <w:rsid w:val="00BE0E3E"/>
    <w:rsid w:val="00BE1FC0"/>
    <w:rsid w:val="00BE2C96"/>
    <w:rsid w:val="00BE430D"/>
    <w:rsid w:val="00BE6C82"/>
    <w:rsid w:val="00BE6CC7"/>
    <w:rsid w:val="00BF6D59"/>
    <w:rsid w:val="00C00096"/>
    <w:rsid w:val="00C03C6D"/>
    <w:rsid w:val="00C045C2"/>
    <w:rsid w:val="00C04CAA"/>
    <w:rsid w:val="00C05A55"/>
    <w:rsid w:val="00C11CEB"/>
    <w:rsid w:val="00C13FA0"/>
    <w:rsid w:val="00C159F5"/>
    <w:rsid w:val="00C172EA"/>
    <w:rsid w:val="00C233BE"/>
    <w:rsid w:val="00C25529"/>
    <w:rsid w:val="00C313A4"/>
    <w:rsid w:val="00C32B9E"/>
    <w:rsid w:val="00C344BE"/>
    <w:rsid w:val="00C34E19"/>
    <w:rsid w:val="00C364A3"/>
    <w:rsid w:val="00C41898"/>
    <w:rsid w:val="00C4362B"/>
    <w:rsid w:val="00C44618"/>
    <w:rsid w:val="00C44DE4"/>
    <w:rsid w:val="00C50113"/>
    <w:rsid w:val="00C52BAA"/>
    <w:rsid w:val="00C559CA"/>
    <w:rsid w:val="00C601B5"/>
    <w:rsid w:val="00C67C1B"/>
    <w:rsid w:val="00C7036B"/>
    <w:rsid w:val="00C7424A"/>
    <w:rsid w:val="00C74D6B"/>
    <w:rsid w:val="00C75B15"/>
    <w:rsid w:val="00C83F7E"/>
    <w:rsid w:val="00C851DC"/>
    <w:rsid w:val="00C863C4"/>
    <w:rsid w:val="00C907AA"/>
    <w:rsid w:val="00C90AD7"/>
    <w:rsid w:val="00C95E11"/>
    <w:rsid w:val="00CA0508"/>
    <w:rsid w:val="00CA11D4"/>
    <w:rsid w:val="00CA156B"/>
    <w:rsid w:val="00CA686D"/>
    <w:rsid w:val="00CA7C86"/>
    <w:rsid w:val="00CB1763"/>
    <w:rsid w:val="00CB244E"/>
    <w:rsid w:val="00CC0C5B"/>
    <w:rsid w:val="00CC292B"/>
    <w:rsid w:val="00CC422B"/>
    <w:rsid w:val="00CC60C7"/>
    <w:rsid w:val="00CC7C0C"/>
    <w:rsid w:val="00CC7DCF"/>
    <w:rsid w:val="00CD045D"/>
    <w:rsid w:val="00CD384C"/>
    <w:rsid w:val="00CD5056"/>
    <w:rsid w:val="00CD5FE8"/>
    <w:rsid w:val="00CD6497"/>
    <w:rsid w:val="00CD6A2F"/>
    <w:rsid w:val="00CE0240"/>
    <w:rsid w:val="00CE7A2A"/>
    <w:rsid w:val="00CF09CF"/>
    <w:rsid w:val="00CF1617"/>
    <w:rsid w:val="00CF16A4"/>
    <w:rsid w:val="00CF2F69"/>
    <w:rsid w:val="00CF3A6C"/>
    <w:rsid w:val="00CF68A4"/>
    <w:rsid w:val="00CF7361"/>
    <w:rsid w:val="00D00A49"/>
    <w:rsid w:val="00D00CB3"/>
    <w:rsid w:val="00D01E35"/>
    <w:rsid w:val="00D02209"/>
    <w:rsid w:val="00D05187"/>
    <w:rsid w:val="00D05C2F"/>
    <w:rsid w:val="00D12F2B"/>
    <w:rsid w:val="00D17C73"/>
    <w:rsid w:val="00D214D4"/>
    <w:rsid w:val="00D23662"/>
    <w:rsid w:val="00D30245"/>
    <w:rsid w:val="00D30838"/>
    <w:rsid w:val="00D310DE"/>
    <w:rsid w:val="00D3186D"/>
    <w:rsid w:val="00D325E7"/>
    <w:rsid w:val="00D352E4"/>
    <w:rsid w:val="00D37477"/>
    <w:rsid w:val="00D37D42"/>
    <w:rsid w:val="00D41BBF"/>
    <w:rsid w:val="00D44C4F"/>
    <w:rsid w:val="00D54710"/>
    <w:rsid w:val="00D54AD1"/>
    <w:rsid w:val="00D57A5D"/>
    <w:rsid w:val="00D60418"/>
    <w:rsid w:val="00D605EA"/>
    <w:rsid w:val="00D63A8D"/>
    <w:rsid w:val="00D64CD4"/>
    <w:rsid w:val="00D73D6C"/>
    <w:rsid w:val="00D77A91"/>
    <w:rsid w:val="00D811DA"/>
    <w:rsid w:val="00D853A1"/>
    <w:rsid w:val="00D87D7F"/>
    <w:rsid w:val="00DA08D6"/>
    <w:rsid w:val="00DA0C31"/>
    <w:rsid w:val="00DA0F27"/>
    <w:rsid w:val="00DA5B1E"/>
    <w:rsid w:val="00DB03A3"/>
    <w:rsid w:val="00DB6D40"/>
    <w:rsid w:val="00DC023B"/>
    <w:rsid w:val="00DC2101"/>
    <w:rsid w:val="00DC316D"/>
    <w:rsid w:val="00DC3DA2"/>
    <w:rsid w:val="00DC4F4C"/>
    <w:rsid w:val="00DC5672"/>
    <w:rsid w:val="00DC61D5"/>
    <w:rsid w:val="00DC758F"/>
    <w:rsid w:val="00DC7851"/>
    <w:rsid w:val="00DD0943"/>
    <w:rsid w:val="00DD163C"/>
    <w:rsid w:val="00DD1C5E"/>
    <w:rsid w:val="00DD4590"/>
    <w:rsid w:val="00DD5CEE"/>
    <w:rsid w:val="00DE24EC"/>
    <w:rsid w:val="00DE3662"/>
    <w:rsid w:val="00DE4705"/>
    <w:rsid w:val="00DF4E1C"/>
    <w:rsid w:val="00E012CD"/>
    <w:rsid w:val="00E01963"/>
    <w:rsid w:val="00E01B37"/>
    <w:rsid w:val="00E01D49"/>
    <w:rsid w:val="00E02ABF"/>
    <w:rsid w:val="00E02FEA"/>
    <w:rsid w:val="00E10044"/>
    <w:rsid w:val="00E1142B"/>
    <w:rsid w:val="00E11B4C"/>
    <w:rsid w:val="00E12C25"/>
    <w:rsid w:val="00E2014F"/>
    <w:rsid w:val="00E22001"/>
    <w:rsid w:val="00E23EB3"/>
    <w:rsid w:val="00E25AE0"/>
    <w:rsid w:val="00E2619B"/>
    <w:rsid w:val="00E304D3"/>
    <w:rsid w:val="00E30519"/>
    <w:rsid w:val="00E30AB0"/>
    <w:rsid w:val="00E30F15"/>
    <w:rsid w:val="00E33FAB"/>
    <w:rsid w:val="00E34B5C"/>
    <w:rsid w:val="00E40A26"/>
    <w:rsid w:val="00E41301"/>
    <w:rsid w:val="00E41C9B"/>
    <w:rsid w:val="00E41EF3"/>
    <w:rsid w:val="00E427CC"/>
    <w:rsid w:val="00E46D0C"/>
    <w:rsid w:val="00E51306"/>
    <w:rsid w:val="00E51DF4"/>
    <w:rsid w:val="00E60F7F"/>
    <w:rsid w:val="00E62E35"/>
    <w:rsid w:val="00E63387"/>
    <w:rsid w:val="00E65515"/>
    <w:rsid w:val="00E65A91"/>
    <w:rsid w:val="00E66B57"/>
    <w:rsid w:val="00E671BF"/>
    <w:rsid w:val="00E738A2"/>
    <w:rsid w:val="00E74465"/>
    <w:rsid w:val="00E80ADC"/>
    <w:rsid w:val="00E848CA"/>
    <w:rsid w:val="00E85B82"/>
    <w:rsid w:val="00E87332"/>
    <w:rsid w:val="00E87B13"/>
    <w:rsid w:val="00E9153D"/>
    <w:rsid w:val="00E92DA5"/>
    <w:rsid w:val="00E934E6"/>
    <w:rsid w:val="00E93D0B"/>
    <w:rsid w:val="00E950CF"/>
    <w:rsid w:val="00E95F87"/>
    <w:rsid w:val="00E968A3"/>
    <w:rsid w:val="00EA7146"/>
    <w:rsid w:val="00EB0955"/>
    <w:rsid w:val="00EB2FA1"/>
    <w:rsid w:val="00EB407A"/>
    <w:rsid w:val="00EB442F"/>
    <w:rsid w:val="00EC03E1"/>
    <w:rsid w:val="00EC7A97"/>
    <w:rsid w:val="00ED00BD"/>
    <w:rsid w:val="00ED0C8F"/>
    <w:rsid w:val="00ED6CAC"/>
    <w:rsid w:val="00EF36F5"/>
    <w:rsid w:val="00F0105B"/>
    <w:rsid w:val="00F01713"/>
    <w:rsid w:val="00F01729"/>
    <w:rsid w:val="00F027BD"/>
    <w:rsid w:val="00F05656"/>
    <w:rsid w:val="00F061A0"/>
    <w:rsid w:val="00F07285"/>
    <w:rsid w:val="00F14300"/>
    <w:rsid w:val="00F2480F"/>
    <w:rsid w:val="00F26996"/>
    <w:rsid w:val="00F27D50"/>
    <w:rsid w:val="00F31D36"/>
    <w:rsid w:val="00F320FA"/>
    <w:rsid w:val="00F33049"/>
    <w:rsid w:val="00F37160"/>
    <w:rsid w:val="00F37AE9"/>
    <w:rsid w:val="00F41830"/>
    <w:rsid w:val="00F42497"/>
    <w:rsid w:val="00F43E5E"/>
    <w:rsid w:val="00F46DFD"/>
    <w:rsid w:val="00F53526"/>
    <w:rsid w:val="00F54F30"/>
    <w:rsid w:val="00F567E1"/>
    <w:rsid w:val="00F57A74"/>
    <w:rsid w:val="00F60410"/>
    <w:rsid w:val="00F60C19"/>
    <w:rsid w:val="00F61317"/>
    <w:rsid w:val="00F65DCC"/>
    <w:rsid w:val="00F77372"/>
    <w:rsid w:val="00F7758E"/>
    <w:rsid w:val="00F8389D"/>
    <w:rsid w:val="00F83A8A"/>
    <w:rsid w:val="00F8519F"/>
    <w:rsid w:val="00F860DA"/>
    <w:rsid w:val="00F90CAA"/>
    <w:rsid w:val="00F973D6"/>
    <w:rsid w:val="00FA0CDB"/>
    <w:rsid w:val="00FA163B"/>
    <w:rsid w:val="00FA2827"/>
    <w:rsid w:val="00FA511A"/>
    <w:rsid w:val="00FB2601"/>
    <w:rsid w:val="00FB4042"/>
    <w:rsid w:val="00FB4118"/>
    <w:rsid w:val="00FC22C8"/>
    <w:rsid w:val="00FC3D3C"/>
    <w:rsid w:val="00FC59D0"/>
    <w:rsid w:val="00FD08F6"/>
    <w:rsid w:val="00FD42B1"/>
    <w:rsid w:val="00FE5DF7"/>
    <w:rsid w:val="00FF01C0"/>
    <w:rsid w:val="00FF5950"/>
    <w:rsid w:val="00FF6505"/>
    <w:rsid w:val="00FF7E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AA09B"/>
  <w15:chartTrackingRefBased/>
  <w15:docId w15:val="{EF74897A-B1C3-47A7-A57C-751E264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7509"/>
    <w:pPr>
      <w:tabs>
        <w:tab w:val="center" w:pos="4153"/>
        <w:tab w:val="right" w:pos="8306"/>
      </w:tabs>
    </w:pPr>
  </w:style>
  <w:style w:type="paragraph" w:styleId="Footer">
    <w:name w:val="footer"/>
    <w:basedOn w:val="Normal"/>
    <w:rsid w:val="006E7509"/>
    <w:pPr>
      <w:tabs>
        <w:tab w:val="center" w:pos="4153"/>
        <w:tab w:val="right" w:pos="8306"/>
      </w:tabs>
    </w:pPr>
  </w:style>
  <w:style w:type="character" w:customStyle="1" w:styleId="hps">
    <w:name w:val="hps"/>
    <w:basedOn w:val="DefaultParagraphFont"/>
    <w:rsid w:val="003C7ED4"/>
  </w:style>
  <w:style w:type="paragraph" w:styleId="Date">
    <w:name w:val="Date"/>
    <w:basedOn w:val="Normal"/>
    <w:next w:val="Normal"/>
    <w:rsid w:val="00C44618"/>
  </w:style>
  <w:style w:type="paragraph" w:styleId="BalloonText">
    <w:name w:val="Balloon Text"/>
    <w:basedOn w:val="Normal"/>
    <w:link w:val="BalloonTextChar"/>
    <w:rsid w:val="00E93D0B"/>
    <w:rPr>
      <w:rFonts w:ascii="Tahoma" w:hAnsi="Tahoma" w:cs="Tahoma"/>
      <w:sz w:val="16"/>
      <w:szCs w:val="16"/>
    </w:rPr>
  </w:style>
  <w:style w:type="character" w:customStyle="1" w:styleId="BalloonTextChar">
    <w:name w:val="Balloon Text Char"/>
    <w:link w:val="BalloonText"/>
    <w:rsid w:val="00E93D0B"/>
    <w:rPr>
      <w:rFonts w:ascii="Tahoma" w:hAnsi="Tahoma" w:cs="Tahoma"/>
      <w:sz w:val="16"/>
      <w:szCs w:val="16"/>
    </w:rPr>
  </w:style>
  <w:style w:type="character" w:styleId="Hyperlink">
    <w:name w:val="Hyperlink"/>
    <w:uiPriority w:val="99"/>
    <w:unhideWhenUsed/>
    <w:rsid w:val="00E02FEA"/>
    <w:rPr>
      <w:rFonts w:ascii="Arial" w:hAnsi="Arial" w:cs="Arial" w:hint="default"/>
      <w:strike w:val="0"/>
      <w:dstrike w:val="0"/>
      <w:color w:val="1122CC"/>
      <w:u w:val="none"/>
      <w:effect w:val="none"/>
    </w:rPr>
  </w:style>
  <w:style w:type="paragraph" w:customStyle="1" w:styleId="ordinary-output">
    <w:name w:val="ordinary-output"/>
    <w:basedOn w:val="Normal"/>
    <w:rsid w:val="00CF16A4"/>
    <w:pPr>
      <w:spacing w:before="100" w:beforeAutospacing="1" w:after="100" w:afterAutospacing="1" w:line="330" w:lineRule="atLeast"/>
    </w:pPr>
    <w:rPr>
      <w:rFonts w:eastAsia="Times New Roman"/>
      <w:color w:val="333333"/>
    </w:rPr>
  </w:style>
  <w:style w:type="character" w:customStyle="1" w:styleId="high-light-bg4">
    <w:name w:val="high-light-bg4"/>
    <w:rsid w:val="00CF16A4"/>
  </w:style>
  <w:style w:type="table" w:styleId="TableGrid">
    <w:name w:val="Table Grid"/>
    <w:basedOn w:val="TableNormal"/>
    <w:rsid w:val="00B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05F"/>
    <w:pPr>
      <w:ind w:left="720"/>
      <w:contextualSpacing/>
    </w:pPr>
  </w:style>
  <w:style w:type="character" w:customStyle="1" w:styleId="Bodytext1">
    <w:name w:val="Body text|1_"/>
    <w:basedOn w:val="DefaultParagraphFont"/>
    <w:link w:val="Bodytext10"/>
    <w:rsid w:val="00E85B82"/>
    <w:rPr>
      <w:rFonts w:ascii="MingLiU" w:eastAsia="MingLiU" w:hAnsi="MingLiU" w:cs="MingLiU"/>
      <w:sz w:val="32"/>
    </w:rPr>
  </w:style>
  <w:style w:type="paragraph" w:customStyle="1" w:styleId="Bodytext10">
    <w:name w:val="Body text|1"/>
    <w:basedOn w:val="Normal"/>
    <w:link w:val="Bodytext1"/>
    <w:rsid w:val="00E85B82"/>
    <w:pPr>
      <w:widowControl w:val="0"/>
      <w:spacing w:line="408" w:lineRule="auto"/>
      <w:ind w:firstLine="400"/>
    </w:pPr>
    <w:rPr>
      <w:rFonts w:ascii="MingLiU" w:eastAsia="MingLiU" w:hAnsi="MingLiU" w:cs="MingLiU"/>
      <w:sz w:val="32"/>
      <w:szCs w:val="20"/>
    </w:rPr>
  </w:style>
  <w:style w:type="paragraph" w:styleId="NormalWeb">
    <w:name w:val="Normal (Web)"/>
    <w:basedOn w:val="Normal"/>
    <w:uiPriority w:val="99"/>
    <w:unhideWhenUsed/>
    <w:rsid w:val="00C03C6D"/>
    <w:pPr>
      <w:spacing w:before="100" w:beforeAutospacing="1" w:after="100" w:afterAutospacing="1"/>
    </w:pPr>
    <w:rPr>
      <w:rFonts w:eastAsia="Times New Roman"/>
    </w:rPr>
  </w:style>
  <w:style w:type="character" w:styleId="Strong">
    <w:name w:val="Strong"/>
    <w:basedOn w:val="DefaultParagraphFont"/>
    <w:uiPriority w:val="22"/>
    <w:qFormat/>
    <w:rsid w:val="00C03C6D"/>
    <w:rPr>
      <w:b/>
      <w:bCs/>
    </w:rPr>
  </w:style>
  <w:style w:type="character" w:styleId="Emphasis">
    <w:name w:val="Emphasis"/>
    <w:basedOn w:val="DefaultParagraphFont"/>
    <w:uiPriority w:val="20"/>
    <w:qFormat/>
    <w:rsid w:val="00C03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304">
      <w:bodyDiv w:val="1"/>
      <w:marLeft w:val="0"/>
      <w:marRight w:val="0"/>
      <w:marTop w:val="0"/>
      <w:marBottom w:val="0"/>
      <w:divBdr>
        <w:top w:val="none" w:sz="0" w:space="0" w:color="auto"/>
        <w:left w:val="none" w:sz="0" w:space="0" w:color="auto"/>
        <w:bottom w:val="none" w:sz="0" w:space="0" w:color="auto"/>
        <w:right w:val="none" w:sz="0" w:space="0" w:color="auto"/>
      </w:divBdr>
      <w:divsChild>
        <w:div w:id="434205384">
          <w:marLeft w:val="0"/>
          <w:marRight w:val="0"/>
          <w:marTop w:val="0"/>
          <w:marBottom w:val="0"/>
          <w:divBdr>
            <w:top w:val="none" w:sz="0" w:space="0" w:color="auto"/>
            <w:left w:val="none" w:sz="0" w:space="0" w:color="auto"/>
            <w:bottom w:val="none" w:sz="0" w:space="0" w:color="auto"/>
            <w:right w:val="none" w:sz="0" w:space="0" w:color="auto"/>
          </w:divBdr>
          <w:divsChild>
            <w:div w:id="1380083833">
              <w:marLeft w:val="0"/>
              <w:marRight w:val="0"/>
              <w:marTop w:val="0"/>
              <w:marBottom w:val="0"/>
              <w:divBdr>
                <w:top w:val="none" w:sz="0" w:space="0" w:color="auto"/>
                <w:left w:val="none" w:sz="0" w:space="0" w:color="auto"/>
                <w:bottom w:val="none" w:sz="0" w:space="0" w:color="auto"/>
                <w:right w:val="none" w:sz="0" w:space="0" w:color="auto"/>
              </w:divBdr>
              <w:divsChild>
                <w:div w:id="778839158">
                  <w:marLeft w:val="0"/>
                  <w:marRight w:val="0"/>
                  <w:marTop w:val="0"/>
                  <w:marBottom w:val="0"/>
                  <w:divBdr>
                    <w:top w:val="none" w:sz="0" w:space="0" w:color="auto"/>
                    <w:left w:val="none" w:sz="0" w:space="0" w:color="auto"/>
                    <w:bottom w:val="none" w:sz="0" w:space="0" w:color="auto"/>
                    <w:right w:val="none" w:sz="0" w:space="0" w:color="auto"/>
                  </w:divBdr>
                  <w:divsChild>
                    <w:div w:id="1956793324">
                      <w:marLeft w:val="0"/>
                      <w:marRight w:val="0"/>
                      <w:marTop w:val="0"/>
                      <w:marBottom w:val="0"/>
                      <w:divBdr>
                        <w:top w:val="none" w:sz="0" w:space="0" w:color="auto"/>
                        <w:left w:val="none" w:sz="0" w:space="0" w:color="auto"/>
                        <w:bottom w:val="none" w:sz="0" w:space="0" w:color="auto"/>
                        <w:right w:val="none" w:sz="0" w:space="0" w:color="auto"/>
                      </w:divBdr>
                      <w:divsChild>
                        <w:div w:id="632759735">
                          <w:marLeft w:val="0"/>
                          <w:marRight w:val="0"/>
                          <w:marTop w:val="0"/>
                          <w:marBottom w:val="900"/>
                          <w:divBdr>
                            <w:top w:val="none" w:sz="0" w:space="0" w:color="auto"/>
                            <w:left w:val="none" w:sz="0" w:space="0" w:color="auto"/>
                            <w:bottom w:val="none" w:sz="0" w:space="0" w:color="auto"/>
                            <w:right w:val="none" w:sz="0" w:space="0" w:color="auto"/>
                          </w:divBdr>
                          <w:divsChild>
                            <w:div w:id="1206135738">
                              <w:marLeft w:val="0"/>
                              <w:marRight w:val="0"/>
                              <w:marTop w:val="0"/>
                              <w:marBottom w:val="0"/>
                              <w:divBdr>
                                <w:top w:val="none" w:sz="0" w:space="0" w:color="auto"/>
                                <w:left w:val="none" w:sz="0" w:space="0" w:color="auto"/>
                                <w:bottom w:val="none" w:sz="0" w:space="0" w:color="auto"/>
                                <w:right w:val="none" w:sz="0" w:space="0" w:color="auto"/>
                              </w:divBdr>
                              <w:divsChild>
                                <w:div w:id="283267099">
                                  <w:marLeft w:val="0"/>
                                  <w:marRight w:val="0"/>
                                  <w:marTop w:val="0"/>
                                  <w:marBottom w:val="0"/>
                                  <w:divBdr>
                                    <w:top w:val="none" w:sz="0" w:space="0" w:color="auto"/>
                                    <w:left w:val="none" w:sz="0" w:space="0" w:color="auto"/>
                                    <w:bottom w:val="none" w:sz="0" w:space="0" w:color="auto"/>
                                    <w:right w:val="none" w:sz="0" w:space="0" w:color="auto"/>
                                  </w:divBdr>
                                  <w:divsChild>
                                    <w:div w:id="1845242306">
                                      <w:marLeft w:val="0"/>
                                      <w:marRight w:val="0"/>
                                      <w:marTop w:val="0"/>
                                      <w:marBottom w:val="0"/>
                                      <w:divBdr>
                                        <w:top w:val="none" w:sz="0" w:space="0" w:color="auto"/>
                                        <w:left w:val="none" w:sz="0" w:space="0" w:color="auto"/>
                                        <w:bottom w:val="none" w:sz="0" w:space="0" w:color="auto"/>
                                        <w:right w:val="none" w:sz="0" w:space="0" w:color="auto"/>
                                      </w:divBdr>
                                      <w:divsChild>
                                        <w:div w:id="1602185403">
                                          <w:marLeft w:val="0"/>
                                          <w:marRight w:val="0"/>
                                          <w:marTop w:val="0"/>
                                          <w:marBottom w:val="0"/>
                                          <w:divBdr>
                                            <w:top w:val="none" w:sz="0" w:space="0" w:color="auto"/>
                                            <w:left w:val="none" w:sz="0" w:space="0" w:color="auto"/>
                                            <w:bottom w:val="none" w:sz="0" w:space="0" w:color="auto"/>
                                            <w:right w:val="none" w:sz="0" w:space="0" w:color="auto"/>
                                          </w:divBdr>
                                          <w:divsChild>
                                            <w:div w:id="362483415">
                                              <w:marLeft w:val="0"/>
                                              <w:marRight w:val="0"/>
                                              <w:marTop w:val="0"/>
                                              <w:marBottom w:val="0"/>
                                              <w:divBdr>
                                                <w:top w:val="none" w:sz="0" w:space="0" w:color="auto"/>
                                                <w:left w:val="none" w:sz="0" w:space="0" w:color="auto"/>
                                                <w:bottom w:val="none" w:sz="0" w:space="0" w:color="auto"/>
                                                <w:right w:val="none" w:sz="0" w:space="0" w:color="auto"/>
                                              </w:divBdr>
                                              <w:divsChild>
                                                <w:div w:id="876699148">
                                                  <w:marLeft w:val="0"/>
                                                  <w:marRight w:val="0"/>
                                                  <w:marTop w:val="0"/>
                                                  <w:marBottom w:val="0"/>
                                                  <w:divBdr>
                                                    <w:top w:val="single" w:sz="6" w:space="0" w:color="EEEEEE"/>
                                                    <w:left w:val="none" w:sz="0" w:space="0" w:color="auto"/>
                                                    <w:bottom w:val="single" w:sz="6" w:space="0" w:color="EEEEEE"/>
                                                    <w:right w:val="single" w:sz="6" w:space="0" w:color="EEEEEE"/>
                                                  </w:divBdr>
                                                  <w:divsChild>
                                                    <w:div w:id="831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491630">
      <w:bodyDiv w:val="1"/>
      <w:marLeft w:val="0"/>
      <w:marRight w:val="0"/>
      <w:marTop w:val="0"/>
      <w:marBottom w:val="0"/>
      <w:divBdr>
        <w:top w:val="none" w:sz="0" w:space="0" w:color="auto"/>
        <w:left w:val="none" w:sz="0" w:space="0" w:color="auto"/>
        <w:bottom w:val="none" w:sz="0" w:space="0" w:color="auto"/>
        <w:right w:val="none" w:sz="0" w:space="0" w:color="auto"/>
      </w:divBdr>
    </w:div>
    <w:div w:id="1210339956">
      <w:bodyDiv w:val="1"/>
      <w:marLeft w:val="0"/>
      <w:marRight w:val="0"/>
      <w:marTop w:val="0"/>
      <w:marBottom w:val="0"/>
      <w:divBdr>
        <w:top w:val="none" w:sz="0" w:space="0" w:color="auto"/>
        <w:left w:val="none" w:sz="0" w:space="0" w:color="auto"/>
        <w:bottom w:val="none" w:sz="0" w:space="0" w:color="auto"/>
        <w:right w:val="none" w:sz="0" w:space="0" w:color="auto"/>
      </w:divBdr>
      <w:divsChild>
        <w:div w:id="49378661">
          <w:marLeft w:val="0"/>
          <w:marRight w:val="0"/>
          <w:marTop w:val="0"/>
          <w:marBottom w:val="0"/>
          <w:divBdr>
            <w:top w:val="none" w:sz="0" w:space="0" w:color="auto"/>
            <w:left w:val="none" w:sz="0" w:space="0" w:color="auto"/>
            <w:bottom w:val="none" w:sz="0" w:space="0" w:color="auto"/>
            <w:right w:val="none" w:sz="0" w:space="0" w:color="auto"/>
          </w:divBdr>
          <w:divsChild>
            <w:div w:id="103813748">
              <w:marLeft w:val="0"/>
              <w:marRight w:val="0"/>
              <w:marTop w:val="0"/>
              <w:marBottom w:val="0"/>
              <w:divBdr>
                <w:top w:val="none" w:sz="0" w:space="0" w:color="auto"/>
                <w:left w:val="none" w:sz="0" w:space="0" w:color="auto"/>
                <w:bottom w:val="none" w:sz="0" w:space="0" w:color="auto"/>
                <w:right w:val="none" w:sz="0" w:space="0" w:color="auto"/>
              </w:divBdr>
              <w:divsChild>
                <w:div w:id="496190315">
                  <w:marLeft w:val="0"/>
                  <w:marRight w:val="0"/>
                  <w:marTop w:val="0"/>
                  <w:marBottom w:val="0"/>
                  <w:divBdr>
                    <w:top w:val="none" w:sz="0" w:space="0" w:color="auto"/>
                    <w:left w:val="none" w:sz="0" w:space="0" w:color="auto"/>
                    <w:bottom w:val="none" w:sz="0" w:space="0" w:color="auto"/>
                    <w:right w:val="none" w:sz="0" w:space="0" w:color="auto"/>
                  </w:divBdr>
                  <w:divsChild>
                    <w:div w:id="416051349">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sChild>
                            <w:div w:id="1515270098">
                              <w:marLeft w:val="0"/>
                              <w:marRight w:val="0"/>
                              <w:marTop w:val="0"/>
                              <w:marBottom w:val="0"/>
                              <w:divBdr>
                                <w:top w:val="none" w:sz="0" w:space="0" w:color="auto"/>
                                <w:left w:val="none" w:sz="0" w:space="0" w:color="auto"/>
                                <w:bottom w:val="none" w:sz="0" w:space="0" w:color="auto"/>
                                <w:right w:val="none" w:sz="0" w:space="0" w:color="auto"/>
                              </w:divBdr>
                              <w:divsChild>
                                <w:div w:id="264772966">
                                  <w:marLeft w:val="0"/>
                                  <w:marRight w:val="0"/>
                                  <w:marTop w:val="0"/>
                                  <w:marBottom w:val="0"/>
                                  <w:divBdr>
                                    <w:top w:val="none" w:sz="0" w:space="0" w:color="auto"/>
                                    <w:left w:val="none" w:sz="0" w:space="0" w:color="auto"/>
                                    <w:bottom w:val="none" w:sz="0" w:space="0" w:color="auto"/>
                                    <w:right w:val="none" w:sz="0" w:space="0" w:color="auto"/>
                                  </w:divBdr>
                                  <w:divsChild>
                                    <w:div w:id="1937210881">
                                      <w:marLeft w:val="0"/>
                                      <w:marRight w:val="0"/>
                                      <w:marTop w:val="0"/>
                                      <w:marBottom w:val="0"/>
                                      <w:divBdr>
                                        <w:top w:val="none" w:sz="0" w:space="0" w:color="auto"/>
                                        <w:left w:val="none" w:sz="0" w:space="0" w:color="auto"/>
                                        <w:bottom w:val="none" w:sz="0" w:space="0" w:color="auto"/>
                                        <w:right w:val="none" w:sz="0" w:space="0" w:color="auto"/>
                                      </w:divBdr>
                                      <w:divsChild>
                                        <w:div w:id="75791618">
                                          <w:marLeft w:val="0"/>
                                          <w:marRight w:val="0"/>
                                          <w:marTop w:val="0"/>
                                          <w:marBottom w:val="0"/>
                                          <w:divBdr>
                                            <w:top w:val="none" w:sz="0" w:space="0" w:color="auto"/>
                                            <w:left w:val="none" w:sz="0" w:space="0" w:color="auto"/>
                                            <w:bottom w:val="none" w:sz="0" w:space="0" w:color="auto"/>
                                            <w:right w:val="none" w:sz="0" w:space="0" w:color="auto"/>
                                          </w:divBdr>
                                          <w:divsChild>
                                            <w:div w:id="490175774">
                                              <w:marLeft w:val="0"/>
                                              <w:marRight w:val="0"/>
                                              <w:marTop w:val="0"/>
                                              <w:marBottom w:val="0"/>
                                              <w:divBdr>
                                                <w:top w:val="none" w:sz="0" w:space="0" w:color="auto"/>
                                                <w:left w:val="none" w:sz="0" w:space="0" w:color="auto"/>
                                                <w:bottom w:val="none" w:sz="0" w:space="0" w:color="auto"/>
                                                <w:right w:val="none" w:sz="0" w:space="0" w:color="auto"/>
                                              </w:divBdr>
                                              <w:divsChild>
                                                <w:div w:id="1124695179">
                                                  <w:marLeft w:val="0"/>
                                                  <w:marRight w:val="0"/>
                                                  <w:marTop w:val="0"/>
                                                  <w:marBottom w:val="0"/>
                                                  <w:divBdr>
                                                    <w:top w:val="none" w:sz="0" w:space="0" w:color="auto"/>
                                                    <w:left w:val="none" w:sz="0" w:space="0" w:color="auto"/>
                                                    <w:bottom w:val="none" w:sz="0" w:space="0" w:color="auto"/>
                                                    <w:right w:val="none" w:sz="0" w:space="0" w:color="auto"/>
                                                  </w:divBdr>
                                                  <w:divsChild>
                                                    <w:div w:id="19015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04652">
      <w:bodyDiv w:val="1"/>
      <w:marLeft w:val="0"/>
      <w:marRight w:val="0"/>
      <w:marTop w:val="0"/>
      <w:marBottom w:val="0"/>
      <w:divBdr>
        <w:top w:val="none" w:sz="0" w:space="0" w:color="auto"/>
        <w:left w:val="none" w:sz="0" w:space="0" w:color="auto"/>
        <w:bottom w:val="none" w:sz="0" w:space="0" w:color="auto"/>
        <w:right w:val="none" w:sz="0" w:space="0" w:color="auto"/>
      </w:divBdr>
      <w:divsChild>
        <w:div w:id="1457026362">
          <w:marLeft w:val="0"/>
          <w:marRight w:val="0"/>
          <w:marTop w:val="0"/>
          <w:marBottom w:val="0"/>
          <w:divBdr>
            <w:top w:val="none" w:sz="0" w:space="0" w:color="auto"/>
            <w:left w:val="none" w:sz="0" w:space="0" w:color="auto"/>
            <w:bottom w:val="none" w:sz="0" w:space="0" w:color="auto"/>
            <w:right w:val="none" w:sz="0" w:space="0" w:color="auto"/>
          </w:divBdr>
          <w:divsChild>
            <w:div w:id="145049604">
              <w:marLeft w:val="0"/>
              <w:marRight w:val="0"/>
              <w:marTop w:val="0"/>
              <w:marBottom w:val="0"/>
              <w:divBdr>
                <w:top w:val="none" w:sz="0" w:space="0" w:color="auto"/>
                <w:left w:val="none" w:sz="0" w:space="0" w:color="auto"/>
                <w:bottom w:val="none" w:sz="0" w:space="0" w:color="auto"/>
                <w:right w:val="none" w:sz="0" w:space="0" w:color="auto"/>
              </w:divBdr>
              <w:divsChild>
                <w:div w:id="262538854">
                  <w:marLeft w:val="0"/>
                  <w:marRight w:val="0"/>
                  <w:marTop w:val="0"/>
                  <w:marBottom w:val="0"/>
                  <w:divBdr>
                    <w:top w:val="none" w:sz="0" w:space="0" w:color="auto"/>
                    <w:left w:val="none" w:sz="0" w:space="0" w:color="auto"/>
                    <w:bottom w:val="none" w:sz="0" w:space="0" w:color="auto"/>
                    <w:right w:val="none" w:sz="0" w:space="0" w:color="auto"/>
                  </w:divBdr>
                  <w:divsChild>
                    <w:div w:id="380400215">
                      <w:marLeft w:val="0"/>
                      <w:marRight w:val="0"/>
                      <w:marTop w:val="0"/>
                      <w:marBottom w:val="0"/>
                      <w:divBdr>
                        <w:top w:val="none" w:sz="0" w:space="0" w:color="auto"/>
                        <w:left w:val="none" w:sz="0" w:space="0" w:color="auto"/>
                        <w:bottom w:val="none" w:sz="0" w:space="0" w:color="auto"/>
                        <w:right w:val="none" w:sz="0" w:space="0" w:color="auto"/>
                      </w:divBdr>
                      <w:divsChild>
                        <w:div w:id="581378601">
                          <w:marLeft w:val="0"/>
                          <w:marRight w:val="0"/>
                          <w:marTop w:val="0"/>
                          <w:marBottom w:val="900"/>
                          <w:divBdr>
                            <w:top w:val="none" w:sz="0" w:space="0" w:color="auto"/>
                            <w:left w:val="none" w:sz="0" w:space="0" w:color="auto"/>
                            <w:bottom w:val="none" w:sz="0" w:space="0" w:color="auto"/>
                            <w:right w:val="none" w:sz="0" w:space="0" w:color="auto"/>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696352749">
                                  <w:marLeft w:val="0"/>
                                  <w:marRight w:val="0"/>
                                  <w:marTop w:val="0"/>
                                  <w:marBottom w:val="0"/>
                                  <w:divBdr>
                                    <w:top w:val="none" w:sz="0" w:space="0" w:color="auto"/>
                                    <w:left w:val="none" w:sz="0" w:space="0" w:color="auto"/>
                                    <w:bottom w:val="none" w:sz="0" w:space="0" w:color="auto"/>
                                    <w:right w:val="none" w:sz="0" w:space="0" w:color="auto"/>
                                  </w:divBdr>
                                  <w:divsChild>
                                    <w:div w:id="1036657190">
                                      <w:marLeft w:val="0"/>
                                      <w:marRight w:val="0"/>
                                      <w:marTop w:val="0"/>
                                      <w:marBottom w:val="0"/>
                                      <w:divBdr>
                                        <w:top w:val="none" w:sz="0" w:space="0" w:color="auto"/>
                                        <w:left w:val="none" w:sz="0" w:space="0" w:color="auto"/>
                                        <w:bottom w:val="none" w:sz="0" w:space="0" w:color="auto"/>
                                        <w:right w:val="none" w:sz="0" w:space="0" w:color="auto"/>
                                      </w:divBdr>
                                      <w:divsChild>
                                        <w:div w:id="922185374">
                                          <w:marLeft w:val="0"/>
                                          <w:marRight w:val="0"/>
                                          <w:marTop w:val="0"/>
                                          <w:marBottom w:val="0"/>
                                          <w:divBdr>
                                            <w:top w:val="none" w:sz="0" w:space="0" w:color="auto"/>
                                            <w:left w:val="none" w:sz="0" w:space="0" w:color="auto"/>
                                            <w:bottom w:val="none" w:sz="0" w:space="0" w:color="auto"/>
                                            <w:right w:val="none" w:sz="0" w:space="0" w:color="auto"/>
                                          </w:divBdr>
                                          <w:divsChild>
                                            <w:div w:id="1458403808">
                                              <w:marLeft w:val="0"/>
                                              <w:marRight w:val="0"/>
                                              <w:marTop w:val="0"/>
                                              <w:marBottom w:val="0"/>
                                              <w:divBdr>
                                                <w:top w:val="none" w:sz="0" w:space="0" w:color="auto"/>
                                                <w:left w:val="none" w:sz="0" w:space="0" w:color="auto"/>
                                                <w:bottom w:val="none" w:sz="0" w:space="0" w:color="auto"/>
                                                <w:right w:val="none" w:sz="0" w:space="0" w:color="auto"/>
                                              </w:divBdr>
                                              <w:divsChild>
                                                <w:div w:id="1380401292">
                                                  <w:marLeft w:val="0"/>
                                                  <w:marRight w:val="0"/>
                                                  <w:marTop w:val="0"/>
                                                  <w:marBottom w:val="0"/>
                                                  <w:divBdr>
                                                    <w:top w:val="single" w:sz="6" w:space="0" w:color="EEEEEE"/>
                                                    <w:left w:val="none" w:sz="0" w:space="0" w:color="auto"/>
                                                    <w:bottom w:val="single" w:sz="6" w:space="0" w:color="EEEEEE"/>
                                                    <w:right w:val="single" w:sz="6" w:space="0" w:color="EEEEEE"/>
                                                  </w:divBdr>
                                                  <w:divsChild>
                                                    <w:div w:id="954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690162">
      <w:bodyDiv w:val="1"/>
      <w:marLeft w:val="0"/>
      <w:marRight w:val="0"/>
      <w:marTop w:val="0"/>
      <w:marBottom w:val="0"/>
      <w:divBdr>
        <w:top w:val="none" w:sz="0" w:space="0" w:color="auto"/>
        <w:left w:val="none" w:sz="0" w:space="0" w:color="auto"/>
        <w:bottom w:val="none" w:sz="0" w:space="0" w:color="auto"/>
        <w:right w:val="none" w:sz="0" w:space="0" w:color="auto"/>
      </w:divBdr>
      <w:divsChild>
        <w:div w:id="1919360291">
          <w:marLeft w:val="0"/>
          <w:marRight w:val="0"/>
          <w:marTop w:val="0"/>
          <w:marBottom w:val="0"/>
          <w:divBdr>
            <w:top w:val="none" w:sz="0" w:space="0" w:color="auto"/>
            <w:left w:val="none" w:sz="0" w:space="0" w:color="auto"/>
            <w:bottom w:val="none" w:sz="0" w:space="0" w:color="auto"/>
            <w:right w:val="none" w:sz="0" w:space="0" w:color="auto"/>
          </w:divBdr>
          <w:divsChild>
            <w:div w:id="650984872">
              <w:marLeft w:val="0"/>
              <w:marRight w:val="0"/>
              <w:marTop w:val="0"/>
              <w:marBottom w:val="0"/>
              <w:divBdr>
                <w:top w:val="none" w:sz="0" w:space="0" w:color="auto"/>
                <w:left w:val="none" w:sz="0" w:space="0" w:color="auto"/>
                <w:bottom w:val="none" w:sz="0" w:space="0" w:color="auto"/>
                <w:right w:val="none" w:sz="0" w:space="0" w:color="auto"/>
              </w:divBdr>
              <w:divsChild>
                <w:div w:id="1924408530">
                  <w:marLeft w:val="0"/>
                  <w:marRight w:val="0"/>
                  <w:marTop w:val="0"/>
                  <w:marBottom w:val="0"/>
                  <w:divBdr>
                    <w:top w:val="none" w:sz="0" w:space="0" w:color="auto"/>
                    <w:left w:val="none" w:sz="0" w:space="0" w:color="auto"/>
                    <w:bottom w:val="none" w:sz="0" w:space="0" w:color="auto"/>
                    <w:right w:val="none" w:sz="0" w:space="0" w:color="auto"/>
                  </w:divBdr>
                  <w:divsChild>
                    <w:div w:id="261841870">
                      <w:marLeft w:val="0"/>
                      <w:marRight w:val="0"/>
                      <w:marTop w:val="0"/>
                      <w:marBottom w:val="0"/>
                      <w:divBdr>
                        <w:top w:val="none" w:sz="0" w:space="0" w:color="auto"/>
                        <w:left w:val="none" w:sz="0" w:space="0" w:color="auto"/>
                        <w:bottom w:val="none" w:sz="0" w:space="0" w:color="auto"/>
                        <w:right w:val="none" w:sz="0" w:space="0" w:color="auto"/>
                      </w:divBdr>
                      <w:divsChild>
                        <w:div w:id="605164189">
                          <w:marLeft w:val="0"/>
                          <w:marRight w:val="0"/>
                          <w:marTop w:val="0"/>
                          <w:marBottom w:val="900"/>
                          <w:divBdr>
                            <w:top w:val="none" w:sz="0" w:space="0" w:color="auto"/>
                            <w:left w:val="none" w:sz="0" w:space="0" w:color="auto"/>
                            <w:bottom w:val="none" w:sz="0" w:space="0" w:color="auto"/>
                            <w:right w:val="none" w:sz="0" w:space="0" w:color="auto"/>
                          </w:divBdr>
                          <w:divsChild>
                            <w:div w:id="18943925">
                              <w:marLeft w:val="0"/>
                              <w:marRight w:val="0"/>
                              <w:marTop w:val="0"/>
                              <w:marBottom w:val="0"/>
                              <w:divBdr>
                                <w:top w:val="none" w:sz="0" w:space="0" w:color="auto"/>
                                <w:left w:val="none" w:sz="0" w:space="0" w:color="auto"/>
                                <w:bottom w:val="none" w:sz="0" w:space="0" w:color="auto"/>
                                <w:right w:val="none" w:sz="0" w:space="0" w:color="auto"/>
                              </w:divBdr>
                              <w:divsChild>
                                <w:div w:id="1455707128">
                                  <w:marLeft w:val="0"/>
                                  <w:marRight w:val="0"/>
                                  <w:marTop w:val="0"/>
                                  <w:marBottom w:val="0"/>
                                  <w:divBdr>
                                    <w:top w:val="none" w:sz="0" w:space="0" w:color="auto"/>
                                    <w:left w:val="none" w:sz="0" w:space="0" w:color="auto"/>
                                    <w:bottom w:val="none" w:sz="0" w:space="0" w:color="auto"/>
                                    <w:right w:val="none" w:sz="0" w:space="0" w:color="auto"/>
                                  </w:divBdr>
                                  <w:divsChild>
                                    <w:div w:id="844512719">
                                      <w:marLeft w:val="0"/>
                                      <w:marRight w:val="0"/>
                                      <w:marTop w:val="0"/>
                                      <w:marBottom w:val="0"/>
                                      <w:divBdr>
                                        <w:top w:val="none" w:sz="0" w:space="0" w:color="auto"/>
                                        <w:left w:val="none" w:sz="0" w:space="0" w:color="auto"/>
                                        <w:bottom w:val="none" w:sz="0" w:space="0" w:color="auto"/>
                                        <w:right w:val="none" w:sz="0" w:space="0" w:color="auto"/>
                                      </w:divBdr>
                                      <w:divsChild>
                                        <w:div w:id="448015221">
                                          <w:marLeft w:val="0"/>
                                          <w:marRight w:val="0"/>
                                          <w:marTop w:val="0"/>
                                          <w:marBottom w:val="0"/>
                                          <w:divBdr>
                                            <w:top w:val="none" w:sz="0" w:space="0" w:color="auto"/>
                                            <w:left w:val="none" w:sz="0" w:space="0" w:color="auto"/>
                                            <w:bottom w:val="none" w:sz="0" w:space="0" w:color="auto"/>
                                            <w:right w:val="none" w:sz="0" w:space="0" w:color="auto"/>
                                          </w:divBdr>
                                          <w:divsChild>
                                            <w:div w:id="100418986">
                                              <w:marLeft w:val="0"/>
                                              <w:marRight w:val="0"/>
                                              <w:marTop w:val="0"/>
                                              <w:marBottom w:val="0"/>
                                              <w:divBdr>
                                                <w:top w:val="none" w:sz="0" w:space="0" w:color="auto"/>
                                                <w:left w:val="none" w:sz="0" w:space="0" w:color="auto"/>
                                                <w:bottom w:val="none" w:sz="0" w:space="0" w:color="auto"/>
                                                <w:right w:val="none" w:sz="0" w:space="0" w:color="auto"/>
                                              </w:divBdr>
                                              <w:divsChild>
                                                <w:div w:id="35354015">
                                                  <w:marLeft w:val="0"/>
                                                  <w:marRight w:val="0"/>
                                                  <w:marTop w:val="0"/>
                                                  <w:marBottom w:val="0"/>
                                                  <w:divBdr>
                                                    <w:top w:val="single" w:sz="6" w:space="0" w:color="EEEEEE"/>
                                                    <w:left w:val="none" w:sz="0" w:space="0" w:color="auto"/>
                                                    <w:bottom w:val="single" w:sz="6" w:space="0" w:color="EEEEEE"/>
                                                    <w:right w:val="single" w:sz="6" w:space="0" w:color="EEEEEE"/>
                                                  </w:divBdr>
                                                  <w:divsChild>
                                                    <w:div w:id="1883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[COURTESY TRANSLATION]</vt:lpstr>
    </vt:vector>
  </TitlesOfParts>
  <Company>European Commission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TRANSLATION]</dc:title>
  <dc:subject/>
  <dc:creator>liuqili</dc:creator>
  <cp:keywords/>
  <cp:lastModifiedBy>LIU Qi (EEAS-BEIJING)</cp:lastModifiedBy>
  <cp:revision>5</cp:revision>
  <cp:lastPrinted>2014-07-24T08:31:00Z</cp:lastPrinted>
  <dcterms:created xsi:type="dcterms:W3CDTF">2025-09-05T08:44:00Z</dcterms:created>
  <dcterms:modified xsi:type="dcterms:W3CDTF">2025-12-22T08:12:00Z</dcterms:modified>
</cp:coreProperties>
</file>